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F8DE2">
      <w:pPr>
        <w:spacing w:before="312" w:beforeLines="100" w:after="312" w:afterLines="100" w:line="480" w:lineRule="auto"/>
        <w:jc w:val="center"/>
        <w:rPr>
          <w:rFonts w:hint="eastAsia" w:ascii="仿宋_GB2312" w:hAnsi="仿宋_GB2312" w:eastAsia="仿宋_GB2312" w:cs="仿宋_GB2312"/>
          <w:b/>
          <w:sz w:val="44"/>
          <w:szCs w:val="44"/>
        </w:rPr>
      </w:pPr>
      <w:r>
        <w:rPr>
          <w:rFonts w:hint="eastAsia" w:ascii="仿宋_GB2312" w:hAnsi="仿宋_GB2312" w:eastAsia="仿宋_GB2312" w:cs="仿宋_GB2312"/>
        </w:rPr>
        <w:t xml:space="preserve"> </w:t>
      </w:r>
      <w:r>
        <w:rPr>
          <w:rFonts w:hint="eastAsia" w:ascii="仿宋_GB2312" w:hAnsi="仿宋_GB2312" w:eastAsia="仿宋_GB2312" w:cs="仿宋_GB2312"/>
          <w:b/>
          <w:sz w:val="44"/>
          <w:szCs w:val="44"/>
        </w:rPr>
        <w:t>西安市疾病预防控制中心</w:t>
      </w:r>
    </w:p>
    <w:p w14:paraId="6AE06CC9">
      <w:pPr>
        <w:spacing w:before="312" w:beforeLines="100" w:after="312" w:afterLines="100" w:line="480" w:lineRule="auto"/>
        <w:jc w:val="center"/>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t>2025年艾滋病检测试剂采购项目2</w:t>
      </w:r>
    </w:p>
    <w:p w14:paraId="06230566">
      <w:pPr>
        <w:spacing w:before="312" w:beforeLines="100" w:after="312" w:afterLines="100" w:line="480" w:lineRule="auto"/>
        <w:jc w:val="center"/>
        <w:rPr>
          <w:rFonts w:hint="eastAsia" w:ascii="仿宋_GB2312" w:hAnsi="仿宋_GB2312" w:eastAsia="仿宋_GB2312" w:cs="仿宋_GB2312"/>
          <w:b/>
          <w:sz w:val="44"/>
          <w:szCs w:val="44"/>
        </w:rPr>
      </w:pPr>
      <w:r>
        <w:rPr>
          <w:rFonts w:hint="eastAsia" w:ascii="仿宋_GB2312" w:hAnsi="仿宋_GB2312" w:eastAsia="仿宋_GB2312" w:cs="仿宋_GB2312"/>
          <w:b/>
          <w:color w:val="000000"/>
          <w:sz w:val="44"/>
          <w:szCs w:val="44"/>
        </w:rPr>
        <w:t>采购合同</w:t>
      </w:r>
    </w:p>
    <w:p w14:paraId="0892DBEC">
      <w:pPr>
        <w:spacing w:line="240" w:lineRule="auto"/>
        <w:jc w:val="center"/>
        <w:rPr>
          <w:rFonts w:hint="eastAsia" w:ascii="仿宋_GB2312" w:hAnsi="仿宋_GB2312" w:eastAsia="仿宋_GB2312" w:cs="仿宋_GB2312"/>
          <w:bCs/>
          <w:color w:val="000000"/>
          <w:sz w:val="15"/>
          <w:szCs w:val="18"/>
        </w:rPr>
      </w:pPr>
      <w:r>
        <w:rPr>
          <w:rFonts w:hint="eastAsia" w:ascii="仿宋_GB2312" w:hAnsi="仿宋_GB2312" w:eastAsia="仿宋_GB2312" w:cs="仿宋_GB2312"/>
          <w:bCs/>
          <w:color w:val="000000"/>
          <w:sz w:val="28"/>
          <w:szCs w:val="28"/>
        </w:rPr>
        <w:t>（项目编号：</w:t>
      </w:r>
      <w:r>
        <w:rPr>
          <w:rFonts w:hint="eastAsia" w:ascii="仿宋_GB2312" w:hAnsi="仿宋_GB2312" w:eastAsia="仿宋_GB2312" w:cs="仿宋_GB2312"/>
          <w:b/>
          <w:bCs/>
          <w:sz w:val="28"/>
          <w:szCs w:val="28"/>
        </w:rPr>
        <w:t>SZT2025-SN-XC-ZC-HW-0611</w:t>
      </w:r>
      <w:r>
        <w:rPr>
          <w:rFonts w:hint="eastAsia" w:ascii="仿宋_GB2312" w:hAnsi="仿宋_GB2312" w:eastAsia="仿宋_GB2312" w:cs="仿宋_GB2312"/>
          <w:bCs/>
          <w:color w:val="000000"/>
          <w:sz w:val="28"/>
          <w:szCs w:val="28"/>
        </w:rPr>
        <w:t>）</w:t>
      </w:r>
    </w:p>
    <w:p w14:paraId="050B9340">
      <w:pPr>
        <w:pStyle w:val="3"/>
        <w:spacing w:before="156" w:beforeLines="50" w:after="156" w:afterLines="50" w:line="240" w:lineRule="auto"/>
        <w:jc w:val="center"/>
        <w:rPr>
          <w:rFonts w:hint="eastAsia" w:ascii="仿宋_GB2312" w:hAnsi="仿宋_GB2312" w:eastAsia="仿宋_GB2312" w:cs="仿宋_GB2312"/>
          <w:b/>
          <w:color w:val="000000"/>
          <w:sz w:val="32"/>
          <w:szCs w:val="32"/>
          <w:u w:val="single"/>
        </w:rPr>
      </w:pPr>
    </w:p>
    <w:p w14:paraId="281CBFAA">
      <w:pPr>
        <w:rPr>
          <w:rFonts w:hint="eastAsia" w:ascii="仿宋_GB2312" w:hAnsi="仿宋_GB2312" w:eastAsia="仿宋_GB2312" w:cs="仿宋_GB2312"/>
        </w:rPr>
      </w:pPr>
    </w:p>
    <w:p w14:paraId="71F1A62F">
      <w:pPr>
        <w:rPr>
          <w:rFonts w:hint="eastAsia" w:ascii="仿宋_GB2312" w:hAnsi="仿宋_GB2312" w:eastAsia="仿宋_GB2312" w:cs="仿宋_GB2312"/>
        </w:rPr>
      </w:pPr>
    </w:p>
    <w:p w14:paraId="5E815993">
      <w:pPr>
        <w:rPr>
          <w:rFonts w:hint="eastAsia" w:ascii="仿宋_GB2312" w:hAnsi="仿宋_GB2312" w:eastAsia="仿宋_GB2312" w:cs="仿宋_GB2312"/>
        </w:rPr>
      </w:pPr>
    </w:p>
    <w:p w14:paraId="23564A06">
      <w:pPr>
        <w:rPr>
          <w:rFonts w:hint="eastAsia" w:ascii="仿宋_GB2312" w:hAnsi="仿宋_GB2312" w:eastAsia="仿宋_GB2312" w:cs="仿宋_GB2312"/>
        </w:rPr>
      </w:pPr>
    </w:p>
    <w:p w14:paraId="4062980E">
      <w:pPr>
        <w:rPr>
          <w:rFonts w:hint="eastAsia" w:ascii="仿宋_GB2312" w:hAnsi="仿宋_GB2312" w:eastAsia="仿宋_GB2312" w:cs="仿宋_GB2312"/>
        </w:rPr>
      </w:pPr>
    </w:p>
    <w:p w14:paraId="21701CB1">
      <w:pPr>
        <w:rPr>
          <w:rFonts w:hint="eastAsia" w:ascii="仿宋_GB2312" w:hAnsi="仿宋_GB2312" w:eastAsia="仿宋_GB2312" w:cs="仿宋_GB2312"/>
        </w:rPr>
      </w:pPr>
    </w:p>
    <w:p w14:paraId="65097057">
      <w:pPr>
        <w:spacing w:line="440" w:lineRule="exact"/>
        <w:rPr>
          <w:rFonts w:hint="eastAsia" w:ascii="仿宋_GB2312" w:hAnsi="仿宋_GB2312" w:eastAsia="仿宋_GB2312" w:cs="仿宋_GB2312"/>
          <w:b/>
          <w:szCs w:val="32"/>
        </w:rPr>
      </w:pPr>
    </w:p>
    <w:p w14:paraId="3627A2BB">
      <w:pPr>
        <w:pStyle w:val="3"/>
        <w:rPr>
          <w:rFonts w:hint="eastAsia" w:ascii="仿宋_GB2312" w:hAnsi="仿宋_GB2312" w:eastAsia="仿宋_GB2312" w:cs="仿宋_GB2312"/>
        </w:rPr>
      </w:pPr>
    </w:p>
    <w:p w14:paraId="299AB3B5">
      <w:pPr>
        <w:pStyle w:val="3"/>
        <w:rPr>
          <w:rFonts w:hint="eastAsia" w:ascii="仿宋_GB2312" w:hAnsi="仿宋_GB2312" w:eastAsia="仿宋_GB2312" w:cs="仿宋_GB2312"/>
        </w:rPr>
      </w:pPr>
    </w:p>
    <w:p w14:paraId="2EECDD14">
      <w:pPr>
        <w:pStyle w:val="3"/>
        <w:rPr>
          <w:rFonts w:hint="eastAsia" w:ascii="仿宋_GB2312" w:hAnsi="仿宋_GB2312" w:eastAsia="仿宋_GB2312" w:cs="仿宋_GB2312"/>
        </w:rPr>
      </w:pPr>
    </w:p>
    <w:p w14:paraId="4FEA1631">
      <w:pPr>
        <w:pStyle w:val="3"/>
        <w:rPr>
          <w:rFonts w:hint="eastAsia" w:ascii="仿宋_GB2312" w:hAnsi="仿宋_GB2312" w:eastAsia="仿宋_GB2312" w:cs="仿宋_GB2312"/>
        </w:rPr>
      </w:pPr>
    </w:p>
    <w:p w14:paraId="62622C0B">
      <w:pPr>
        <w:pStyle w:val="3"/>
        <w:rPr>
          <w:rFonts w:hint="eastAsia" w:ascii="仿宋_GB2312" w:hAnsi="仿宋_GB2312" w:eastAsia="仿宋_GB2312" w:cs="仿宋_GB2312"/>
        </w:rPr>
      </w:pPr>
    </w:p>
    <w:p w14:paraId="6B407E75">
      <w:pPr>
        <w:spacing w:line="360" w:lineRule="auto"/>
        <w:ind w:firstLine="1600" w:firstLineChars="500"/>
        <w:rPr>
          <w:rFonts w:hint="eastAsia" w:ascii="仿宋_GB2312" w:hAnsi="仿宋_GB2312" w:eastAsia="仿宋_GB2312" w:cs="仿宋_GB2312"/>
          <w:bCs/>
          <w:szCs w:val="32"/>
        </w:rPr>
      </w:pPr>
      <w:r>
        <w:rPr>
          <w:rFonts w:hint="eastAsia" w:ascii="仿宋_GB2312" w:hAnsi="仿宋_GB2312" w:eastAsia="仿宋_GB2312" w:cs="仿宋_GB2312"/>
          <w:bCs/>
          <w:szCs w:val="32"/>
        </w:rPr>
        <w:t>甲  方：西安市疾病预防控制中心</w:t>
      </w:r>
    </w:p>
    <w:p w14:paraId="24402DE4">
      <w:pPr>
        <w:pStyle w:val="2"/>
        <w:spacing w:line="336" w:lineRule="auto"/>
        <w:ind w:firstLine="1600" w:firstLineChars="500"/>
        <w:rPr>
          <w:rFonts w:hint="eastAsia" w:ascii="仿宋_GB2312" w:hAnsi="仿宋_GB2312" w:eastAsia="仿宋_GB2312" w:cs="仿宋_GB2312"/>
          <w:bCs/>
          <w:szCs w:val="32"/>
        </w:rPr>
      </w:pPr>
      <w:r>
        <w:rPr>
          <w:rFonts w:hint="eastAsia" w:ascii="仿宋_GB2312" w:hAnsi="仿宋_GB2312" w:eastAsia="仿宋_GB2312" w:cs="仿宋_GB2312"/>
          <w:bCs/>
          <w:szCs w:val="32"/>
        </w:rPr>
        <w:t>乙  方：xxxxxxxx</w:t>
      </w:r>
    </w:p>
    <w:p w14:paraId="4D2D4025">
      <w:pPr>
        <w:spacing w:line="360" w:lineRule="auto"/>
        <w:ind w:firstLine="1600" w:firstLineChars="500"/>
        <w:rPr>
          <w:rFonts w:hint="eastAsia" w:ascii="仿宋_GB2312" w:hAnsi="仿宋_GB2312" w:eastAsia="仿宋_GB2312" w:cs="仿宋_GB2312"/>
          <w:bCs/>
          <w:szCs w:val="32"/>
          <w:lang w:eastAsia="zh-CN"/>
        </w:rPr>
      </w:pPr>
      <w:r>
        <w:rPr>
          <w:rFonts w:hint="eastAsia" w:ascii="仿宋_GB2312" w:hAnsi="仿宋_GB2312" w:eastAsia="仿宋_GB2312" w:cs="仿宋_GB2312"/>
          <w:bCs/>
          <w:szCs w:val="32"/>
        </w:rPr>
        <w:t>鉴证方：</w:t>
      </w:r>
      <w:r>
        <w:rPr>
          <w:rFonts w:hint="eastAsia" w:ascii="仿宋_GB2312" w:hAnsi="仿宋_GB2312" w:eastAsia="仿宋_GB2312" w:cs="仿宋_GB2312"/>
          <w:bCs/>
          <w:szCs w:val="32"/>
          <w:lang w:val="en-US" w:eastAsia="zh-CN"/>
        </w:rPr>
        <w:t>陕西中技招标有限公司</w:t>
      </w:r>
    </w:p>
    <w:p w14:paraId="5C02ADBF">
      <w:pPr>
        <w:spacing w:line="360" w:lineRule="auto"/>
        <w:jc w:val="center"/>
        <w:rPr>
          <w:rFonts w:hint="eastAsia" w:ascii="仿宋_GB2312" w:hAnsi="仿宋_GB2312" w:eastAsia="仿宋_GB2312" w:cs="仿宋_GB2312"/>
          <w:bCs/>
          <w:szCs w:val="32"/>
        </w:rPr>
      </w:pPr>
      <w:r>
        <w:rPr>
          <w:rFonts w:hint="eastAsia" w:ascii="仿宋_GB2312" w:hAnsi="仿宋_GB2312" w:eastAsia="仿宋_GB2312" w:cs="仿宋_GB2312"/>
          <w:bCs/>
          <w:szCs w:val="32"/>
        </w:rPr>
        <w:t>2025年x月</w:t>
      </w:r>
    </w:p>
    <w:p w14:paraId="36ED24FC">
      <w:pPr>
        <w:pStyle w:val="6"/>
        <w:rPr>
          <w:rFonts w:ascii="仿宋_GB2312" w:hAnsi="仿宋_GB2312" w:eastAsia="仿宋_GB2312" w:cs="仿宋_GB2312"/>
        </w:rPr>
      </w:pPr>
      <w:r>
        <w:rPr>
          <w:rFonts w:ascii="仿宋_GB2312" w:hAnsi="仿宋_GB2312" w:eastAsia="仿宋_GB2312" w:cs="仿宋_GB2312"/>
          <w:sz w:val="18"/>
          <w:szCs w:val="18"/>
        </w:rPr>
        <w:br w:type="page"/>
      </w:r>
    </w:p>
    <w:p w14:paraId="79D4ABBC">
      <w:pPr>
        <w:spacing w:line="360" w:lineRule="auto"/>
        <w:ind w:firstLine="480" w:firstLineChars="200"/>
        <w:rPr>
          <w:rFonts w:hint="eastAsia" w:ascii="仿宋" w:hAnsi="仿宋" w:cs="宋体"/>
          <w:sz w:val="24"/>
        </w:rPr>
      </w:pPr>
      <w:r>
        <w:rPr>
          <w:rFonts w:hint="eastAsia" w:ascii="仿宋" w:hAnsi="仿宋" w:cs="宋体"/>
          <w:sz w:val="24"/>
        </w:rPr>
        <w:t>甲  方：</w:t>
      </w:r>
      <w:r>
        <w:rPr>
          <w:rFonts w:hint="eastAsia" w:ascii="仿宋" w:hAnsi="仿宋" w:cs="宋体"/>
          <w:b/>
          <w:sz w:val="24"/>
          <w:u w:val="single"/>
        </w:rPr>
        <w:t>西安市疾病预防控制中心</w:t>
      </w:r>
    </w:p>
    <w:p w14:paraId="6ECD53BD">
      <w:pPr>
        <w:spacing w:line="360" w:lineRule="auto"/>
        <w:ind w:firstLine="480" w:firstLineChars="200"/>
        <w:rPr>
          <w:rFonts w:hint="eastAsia" w:ascii="仿宋" w:hAnsi="仿宋" w:cs="宋体"/>
          <w:sz w:val="24"/>
        </w:rPr>
      </w:pPr>
      <w:r>
        <w:rPr>
          <w:rFonts w:hint="eastAsia" w:ascii="仿宋" w:hAnsi="仿宋" w:cs="宋体"/>
          <w:sz w:val="24"/>
        </w:rPr>
        <w:t>乙  方：</w:t>
      </w:r>
      <w:r>
        <w:rPr>
          <w:rFonts w:hint="eastAsia" w:ascii="仿宋" w:hAnsi="仿宋" w:cs="宋体"/>
          <w:b/>
          <w:sz w:val="24"/>
          <w:u w:val="single"/>
        </w:rPr>
        <w:t xml:space="preserve">                      </w:t>
      </w:r>
    </w:p>
    <w:p w14:paraId="56127105">
      <w:pPr>
        <w:tabs>
          <w:tab w:val="left" w:pos="480"/>
        </w:tabs>
        <w:spacing w:line="360" w:lineRule="auto"/>
        <w:ind w:firstLine="480" w:firstLineChars="200"/>
        <w:rPr>
          <w:rFonts w:hint="eastAsia" w:ascii="仿宋" w:hAnsi="仿宋" w:cs="宋体"/>
          <w:bCs/>
          <w:sz w:val="24"/>
        </w:rPr>
      </w:pPr>
      <w:r>
        <w:rPr>
          <w:rFonts w:hint="eastAsia" w:ascii="仿宋" w:hAnsi="仿宋" w:cs="宋体"/>
          <w:bCs/>
          <w:sz w:val="24"/>
        </w:rPr>
        <w:t>鉴证方：</w:t>
      </w:r>
      <w:r>
        <w:rPr>
          <w:rFonts w:hint="eastAsia" w:ascii="仿宋" w:hAnsi="仿宋" w:cs="宋体"/>
          <w:b/>
          <w:sz w:val="24"/>
          <w:u w:val="single"/>
        </w:rPr>
        <w:t xml:space="preserve">                        </w:t>
      </w:r>
    </w:p>
    <w:p w14:paraId="1C86B44B">
      <w:pPr>
        <w:tabs>
          <w:tab w:val="left" w:pos="480"/>
        </w:tabs>
        <w:spacing w:line="360" w:lineRule="auto"/>
        <w:ind w:firstLine="480" w:firstLineChars="200"/>
        <w:rPr>
          <w:rFonts w:hint="eastAsia" w:ascii="仿宋" w:hAnsi="仿宋" w:cs="宋体"/>
          <w:bCs/>
          <w:sz w:val="24"/>
        </w:rPr>
      </w:pPr>
      <w:r>
        <w:rPr>
          <w:rFonts w:hint="eastAsia" w:ascii="仿宋" w:hAnsi="仿宋" w:cs="宋体"/>
          <w:bCs/>
          <w:sz w:val="24"/>
        </w:rPr>
        <w:t>根据《中华人民共和国政府采购法》及实施条例、《中华人民共和国民法典》和甲方采购项目</w:t>
      </w:r>
      <w:r>
        <w:rPr>
          <w:rFonts w:hint="eastAsia" w:ascii="仿宋" w:hAnsi="仿宋" w:cs="宋体"/>
          <w:bCs/>
          <w:sz w:val="24"/>
          <w:u w:val="single"/>
        </w:rPr>
        <w:t xml:space="preserve">   （项目编号：       </w:t>
      </w:r>
      <w:r>
        <w:rPr>
          <w:rFonts w:hint="eastAsia" w:ascii="仿宋" w:hAnsi="仿宋" w:cs="宋体"/>
          <w:bCs/>
          <w:sz w:val="24"/>
        </w:rPr>
        <w:t>）的招标文件、投标文件等有关规定，为确保甲方采购项目的顺利实施，甲、乙双方在平等自愿原则下签订本合同，并共同遵守如下条款：</w:t>
      </w:r>
    </w:p>
    <w:p w14:paraId="76BF752A">
      <w:pPr>
        <w:widowControl/>
        <w:numPr>
          <w:ilvl w:val="0"/>
          <w:numId w:val="1"/>
        </w:numPr>
        <w:tabs>
          <w:tab w:val="left" w:pos="480"/>
        </w:tabs>
        <w:kinsoku w:val="0"/>
        <w:autoSpaceDE w:val="0"/>
        <w:autoSpaceDN w:val="0"/>
        <w:adjustRightInd w:val="0"/>
        <w:snapToGrid w:val="0"/>
        <w:spacing w:line="360" w:lineRule="auto"/>
        <w:jc w:val="left"/>
        <w:textAlignment w:val="baseline"/>
        <w:rPr>
          <w:rFonts w:hint="eastAsia" w:ascii="仿宋" w:hAnsi="仿宋" w:cs="宋体"/>
          <w:b/>
          <w:sz w:val="24"/>
        </w:rPr>
      </w:pPr>
      <w:r>
        <w:rPr>
          <w:rFonts w:hint="eastAsia" w:ascii="仿宋" w:hAnsi="仿宋" w:cs="宋体"/>
          <w:b/>
          <w:sz w:val="24"/>
        </w:rPr>
        <w:t>合同标的物内容及数量</w:t>
      </w:r>
    </w:p>
    <w:tbl>
      <w:tblPr>
        <w:tblStyle w:val="4"/>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024"/>
        <w:gridCol w:w="1145"/>
        <w:gridCol w:w="748"/>
        <w:gridCol w:w="1066"/>
        <w:gridCol w:w="743"/>
        <w:gridCol w:w="686"/>
        <w:gridCol w:w="863"/>
        <w:gridCol w:w="966"/>
        <w:gridCol w:w="681"/>
      </w:tblGrid>
      <w:tr w14:paraId="3C60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7"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29FEB6E2">
            <w:pPr>
              <w:tabs>
                <w:tab w:val="left" w:pos="480"/>
              </w:tabs>
              <w:jc w:val="center"/>
              <w:rPr>
                <w:rFonts w:hint="eastAsia" w:ascii="仿宋" w:hAnsi="仿宋" w:cs="宋体"/>
                <w:sz w:val="24"/>
              </w:rPr>
            </w:pPr>
            <w:r>
              <w:rPr>
                <w:rFonts w:hint="eastAsia" w:ascii="仿宋" w:hAnsi="仿宋" w:cs="宋体"/>
                <w:sz w:val="24"/>
              </w:rPr>
              <w:t>序号</w:t>
            </w:r>
          </w:p>
        </w:tc>
        <w:tc>
          <w:tcPr>
            <w:tcW w:w="597" w:type="pct"/>
            <w:tcBorders>
              <w:top w:val="single" w:color="auto" w:sz="4" w:space="0"/>
              <w:left w:val="single" w:color="auto" w:sz="4" w:space="0"/>
              <w:bottom w:val="single" w:color="auto" w:sz="4" w:space="0"/>
              <w:right w:val="single" w:color="auto" w:sz="4" w:space="0"/>
            </w:tcBorders>
            <w:vAlign w:val="center"/>
          </w:tcPr>
          <w:p w14:paraId="2BBAC1DD">
            <w:pPr>
              <w:tabs>
                <w:tab w:val="left" w:pos="480"/>
              </w:tabs>
              <w:jc w:val="center"/>
              <w:rPr>
                <w:rFonts w:hint="eastAsia" w:ascii="仿宋" w:hAnsi="仿宋" w:cs="宋体"/>
                <w:sz w:val="24"/>
              </w:rPr>
            </w:pPr>
            <w:r>
              <w:rPr>
                <w:rFonts w:hint="eastAsia" w:ascii="仿宋" w:hAnsi="仿宋" w:cs="宋体"/>
                <w:sz w:val="24"/>
              </w:rPr>
              <w:t>名称</w:t>
            </w:r>
          </w:p>
        </w:tc>
        <w:tc>
          <w:tcPr>
            <w:tcW w:w="668" w:type="pct"/>
            <w:tcBorders>
              <w:top w:val="single" w:color="auto" w:sz="4" w:space="0"/>
              <w:left w:val="single" w:color="auto" w:sz="4" w:space="0"/>
              <w:bottom w:val="single" w:color="auto" w:sz="4" w:space="0"/>
              <w:right w:val="single" w:color="auto" w:sz="4" w:space="0"/>
            </w:tcBorders>
            <w:vAlign w:val="center"/>
          </w:tcPr>
          <w:p w14:paraId="36ABF2E2">
            <w:pPr>
              <w:tabs>
                <w:tab w:val="left" w:pos="480"/>
              </w:tabs>
              <w:jc w:val="center"/>
              <w:rPr>
                <w:rFonts w:hint="eastAsia" w:ascii="仿宋" w:hAnsi="仿宋" w:cs="宋体"/>
                <w:sz w:val="24"/>
              </w:rPr>
            </w:pPr>
            <w:r>
              <w:rPr>
                <w:rFonts w:hint="eastAsia" w:ascii="仿宋" w:hAnsi="仿宋" w:cs="宋体"/>
                <w:sz w:val="24"/>
              </w:rPr>
              <w:t>规格型号</w:t>
            </w:r>
          </w:p>
        </w:tc>
        <w:tc>
          <w:tcPr>
            <w:tcW w:w="436" w:type="pct"/>
            <w:tcBorders>
              <w:top w:val="single" w:color="auto" w:sz="4" w:space="0"/>
              <w:left w:val="single" w:color="auto" w:sz="4" w:space="0"/>
              <w:bottom w:val="single" w:color="auto" w:sz="4" w:space="0"/>
              <w:right w:val="single" w:color="auto" w:sz="4" w:space="0"/>
            </w:tcBorders>
            <w:vAlign w:val="center"/>
          </w:tcPr>
          <w:p w14:paraId="7D919965">
            <w:pPr>
              <w:tabs>
                <w:tab w:val="left" w:pos="480"/>
              </w:tabs>
              <w:jc w:val="center"/>
              <w:rPr>
                <w:rFonts w:hint="eastAsia" w:ascii="仿宋" w:hAnsi="仿宋" w:cs="宋体"/>
                <w:sz w:val="24"/>
              </w:rPr>
            </w:pPr>
            <w:r>
              <w:rPr>
                <w:rFonts w:hint="eastAsia" w:ascii="仿宋" w:hAnsi="仿宋" w:cs="宋体"/>
                <w:sz w:val="24"/>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55B6BAF7">
            <w:pPr>
              <w:tabs>
                <w:tab w:val="left" w:pos="480"/>
              </w:tabs>
              <w:jc w:val="center"/>
              <w:rPr>
                <w:rFonts w:hint="eastAsia" w:ascii="仿宋" w:hAnsi="仿宋" w:cs="宋体"/>
                <w:sz w:val="24"/>
              </w:rPr>
            </w:pPr>
            <w:r>
              <w:rPr>
                <w:rFonts w:hint="eastAsia" w:ascii="仿宋" w:hAnsi="仿宋" w:cs="宋体"/>
                <w:sz w:val="24"/>
              </w:rPr>
              <w:t>生产厂家</w:t>
            </w:r>
          </w:p>
        </w:tc>
        <w:tc>
          <w:tcPr>
            <w:tcW w:w="433" w:type="pct"/>
            <w:tcBorders>
              <w:top w:val="single" w:color="auto" w:sz="4" w:space="0"/>
              <w:left w:val="single" w:color="auto" w:sz="4" w:space="0"/>
              <w:bottom w:val="single" w:color="auto" w:sz="4" w:space="0"/>
              <w:right w:val="single" w:color="auto" w:sz="4" w:space="0"/>
            </w:tcBorders>
            <w:vAlign w:val="center"/>
          </w:tcPr>
          <w:p w14:paraId="5E2F788F">
            <w:pPr>
              <w:tabs>
                <w:tab w:val="left" w:pos="480"/>
              </w:tabs>
              <w:jc w:val="center"/>
              <w:rPr>
                <w:rFonts w:hint="eastAsia" w:ascii="仿宋" w:hAnsi="仿宋" w:cs="宋体"/>
                <w:sz w:val="24"/>
              </w:rPr>
            </w:pPr>
            <w:r>
              <w:rPr>
                <w:rFonts w:hint="eastAsia" w:ascii="仿宋" w:hAnsi="仿宋" w:cs="宋体"/>
                <w:sz w:val="24"/>
              </w:rPr>
              <w:t>单位</w:t>
            </w:r>
          </w:p>
        </w:tc>
        <w:tc>
          <w:tcPr>
            <w:tcW w:w="400" w:type="pct"/>
            <w:tcBorders>
              <w:top w:val="single" w:color="auto" w:sz="4" w:space="0"/>
              <w:left w:val="single" w:color="auto" w:sz="4" w:space="0"/>
              <w:bottom w:val="single" w:color="auto" w:sz="4" w:space="0"/>
              <w:right w:val="single" w:color="auto" w:sz="4" w:space="0"/>
            </w:tcBorders>
            <w:vAlign w:val="center"/>
          </w:tcPr>
          <w:p w14:paraId="5E30F631">
            <w:pPr>
              <w:tabs>
                <w:tab w:val="left" w:pos="480"/>
              </w:tabs>
              <w:jc w:val="center"/>
              <w:rPr>
                <w:rFonts w:hint="eastAsia" w:ascii="仿宋" w:hAnsi="仿宋" w:cs="宋体"/>
                <w:sz w:val="24"/>
              </w:rPr>
            </w:pPr>
            <w:r>
              <w:rPr>
                <w:rFonts w:hint="eastAsia" w:ascii="仿宋" w:hAnsi="仿宋" w:cs="宋体"/>
                <w:sz w:val="24"/>
              </w:rPr>
              <w:t>数量</w:t>
            </w:r>
          </w:p>
        </w:tc>
        <w:tc>
          <w:tcPr>
            <w:tcW w:w="503" w:type="pct"/>
            <w:tcBorders>
              <w:top w:val="single" w:color="auto" w:sz="4" w:space="0"/>
              <w:left w:val="single" w:color="auto" w:sz="4" w:space="0"/>
              <w:bottom w:val="single" w:color="auto" w:sz="4" w:space="0"/>
              <w:right w:val="single" w:color="auto" w:sz="4" w:space="0"/>
            </w:tcBorders>
            <w:vAlign w:val="center"/>
          </w:tcPr>
          <w:p w14:paraId="17619364">
            <w:pPr>
              <w:tabs>
                <w:tab w:val="left" w:pos="480"/>
              </w:tabs>
              <w:jc w:val="center"/>
              <w:rPr>
                <w:rFonts w:hint="eastAsia" w:ascii="仿宋" w:hAnsi="仿宋" w:cs="宋体"/>
                <w:sz w:val="24"/>
              </w:rPr>
            </w:pPr>
            <w:r>
              <w:rPr>
                <w:rFonts w:hint="eastAsia" w:ascii="仿宋" w:hAnsi="仿宋" w:cs="宋体"/>
                <w:sz w:val="24"/>
              </w:rPr>
              <w:t>单价（元）</w:t>
            </w:r>
          </w:p>
        </w:tc>
        <w:tc>
          <w:tcPr>
            <w:tcW w:w="563" w:type="pct"/>
            <w:tcBorders>
              <w:top w:val="single" w:color="auto" w:sz="4" w:space="0"/>
              <w:left w:val="single" w:color="auto" w:sz="4" w:space="0"/>
              <w:bottom w:val="single" w:color="auto" w:sz="4" w:space="0"/>
              <w:right w:val="single" w:color="auto" w:sz="4" w:space="0"/>
            </w:tcBorders>
            <w:vAlign w:val="center"/>
          </w:tcPr>
          <w:p w14:paraId="156011C9">
            <w:pPr>
              <w:tabs>
                <w:tab w:val="left" w:pos="480"/>
              </w:tabs>
              <w:jc w:val="center"/>
              <w:rPr>
                <w:rFonts w:hint="eastAsia" w:ascii="仿宋" w:hAnsi="仿宋" w:cs="宋体"/>
                <w:sz w:val="24"/>
              </w:rPr>
            </w:pPr>
            <w:r>
              <w:rPr>
                <w:rFonts w:hint="eastAsia" w:ascii="仿宋" w:hAnsi="仿宋" w:cs="宋体"/>
                <w:sz w:val="24"/>
              </w:rPr>
              <w:t>总价（元）</w:t>
            </w:r>
          </w:p>
        </w:tc>
        <w:tc>
          <w:tcPr>
            <w:tcW w:w="394" w:type="pct"/>
            <w:tcBorders>
              <w:top w:val="single" w:color="auto" w:sz="4" w:space="0"/>
              <w:left w:val="single" w:color="auto" w:sz="4" w:space="0"/>
              <w:bottom w:val="single" w:color="auto" w:sz="4" w:space="0"/>
              <w:right w:val="single" w:color="auto" w:sz="4" w:space="0"/>
            </w:tcBorders>
            <w:vAlign w:val="center"/>
          </w:tcPr>
          <w:p w14:paraId="2197172D">
            <w:pPr>
              <w:tabs>
                <w:tab w:val="left" w:pos="480"/>
              </w:tabs>
              <w:jc w:val="center"/>
              <w:rPr>
                <w:rFonts w:hint="eastAsia" w:ascii="仿宋" w:hAnsi="仿宋" w:cs="宋体"/>
                <w:sz w:val="24"/>
              </w:rPr>
            </w:pPr>
            <w:r>
              <w:rPr>
                <w:rFonts w:hint="eastAsia" w:ascii="仿宋" w:hAnsi="仿宋" w:cs="宋体"/>
                <w:sz w:val="24"/>
              </w:rPr>
              <w:t>备注</w:t>
            </w:r>
          </w:p>
        </w:tc>
      </w:tr>
      <w:tr w14:paraId="4352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69AFA009">
            <w:pPr>
              <w:tabs>
                <w:tab w:val="left" w:pos="480"/>
              </w:tabs>
              <w:jc w:val="center"/>
              <w:rPr>
                <w:rFonts w:hint="eastAsia" w:ascii="仿宋" w:hAnsi="仿宋" w:cs="宋体"/>
                <w:sz w:val="24"/>
              </w:rPr>
            </w:pPr>
            <w:r>
              <w:rPr>
                <w:rFonts w:hint="eastAsia" w:ascii="仿宋" w:hAnsi="仿宋" w:cs="宋体"/>
                <w:sz w:val="24"/>
              </w:rPr>
              <w:t>1</w:t>
            </w:r>
          </w:p>
        </w:tc>
        <w:tc>
          <w:tcPr>
            <w:tcW w:w="597" w:type="pct"/>
            <w:tcBorders>
              <w:top w:val="single" w:color="auto" w:sz="4" w:space="0"/>
              <w:left w:val="single" w:color="auto" w:sz="4" w:space="0"/>
              <w:bottom w:val="single" w:color="auto" w:sz="4" w:space="0"/>
              <w:right w:val="single" w:color="auto" w:sz="4" w:space="0"/>
            </w:tcBorders>
            <w:vAlign w:val="center"/>
          </w:tcPr>
          <w:p w14:paraId="119B7128">
            <w:pPr>
              <w:tabs>
                <w:tab w:val="left" w:pos="480"/>
              </w:tabs>
              <w:jc w:val="center"/>
              <w:rPr>
                <w:rFonts w:hint="eastAsia" w:ascii="仿宋" w:hAnsi="仿宋" w:cs="宋体"/>
                <w:sz w:val="24"/>
              </w:rPr>
            </w:pPr>
          </w:p>
        </w:tc>
        <w:tc>
          <w:tcPr>
            <w:tcW w:w="668" w:type="pct"/>
            <w:tcBorders>
              <w:top w:val="single" w:color="auto" w:sz="4" w:space="0"/>
              <w:left w:val="single" w:color="auto" w:sz="4" w:space="0"/>
              <w:bottom w:val="single" w:color="auto" w:sz="4" w:space="0"/>
              <w:right w:val="single" w:color="auto" w:sz="4" w:space="0"/>
            </w:tcBorders>
            <w:vAlign w:val="center"/>
          </w:tcPr>
          <w:p w14:paraId="1350D6FD">
            <w:pPr>
              <w:tabs>
                <w:tab w:val="left" w:pos="480"/>
              </w:tabs>
              <w:jc w:val="center"/>
              <w:rPr>
                <w:rFonts w:hint="eastAsia" w:ascii="仿宋" w:hAnsi="仿宋" w:cs="宋体"/>
                <w:sz w:val="24"/>
              </w:rPr>
            </w:pPr>
          </w:p>
        </w:tc>
        <w:tc>
          <w:tcPr>
            <w:tcW w:w="436" w:type="pct"/>
            <w:tcBorders>
              <w:top w:val="single" w:color="auto" w:sz="4" w:space="0"/>
              <w:left w:val="single" w:color="auto" w:sz="4" w:space="0"/>
              <w:bottom w:val="single" w:color="auto" w:sz="4" w:space="0"/>
              <w:right w:val="single" w:color="auto" w:sz="4" w:space="0"/>
            </w:tcBorders>
            <w:vAlign w:val="center"/>
          </w:tcPr>
          <w:p w14:paraId="1F545804">
            <w:pPr>
              <w:tabs>
                <w:tab w:val="left" w:pos="480"/>
              </w:tabs>
              <w:jc w:val="center"/>
              <w:rPr>
                <w:rFonts w:hint="eastAsia" w:ascii="仿宋" w:hAnsi="仿宋" w:cs="宋体"/>
                <w:sz w:val="24"/>
              </w:rPr>
            </w:pPr>
          </w:p>
        </w:tc>
        <w:tc>
          <w:tcPr>
            <w:tcW w:w="622" w:type="pct"/>
            <w:tcBorders>
              <w:top w:val="single" w:color="auto" w:sz="4" w:space="0"/>
              <w:left w:val="single" w:color="auto" w:sz="4" w:space="0"/>
              <w:bottom w:val="single" w:color="auto" w:sz="4" w:space="0"/>
              <w:right w:val="single" w:color="auto" w:sz="4" w:space="0"/>
            </w:tcBorders>
            <w:vAlign w:val="center"/>
          </w:tcPr>
          <w:p w14:paraId="01C15C76">
            <w:pPr>
              <w:tabs>
                <w:tab w:val="left" w:pos="480"/>
              </w:tabs>
              <w:jc w:val="center"/>
              <w:rPr>
                <w:rFonts w:hint="eastAsia" w:ascii="仿宋" w:hAnsi="仿宋" w:cs="宋体"/>
                <w:sz w:val="24"/>
              </w:rPr>
            </w:pPr>
          </w:p>
        </w:tc>
        <w:tc>
          <w:tcPr>
            <w:tcW w:w="433" w:type="pct"/>
            <w:tcBorders>
              <w:top w:val="single" w:color="auto" w:sz="4" w:space="0"/>
              <w:left w:val="single" w:color="auto" w:sz="4" w:space="0"/>
              <w:bottom w:val="single" w:color="auto" w:sz="4" w:space="0"/>
              <w:right w:val="single" w:color="auto" w:sz="4" w:space="0"/>
            </w:tcBorders>
            <w:vAlign w:val="center"/>
          </w:tcPr>
          <w:p w14:paraId="7204C786">
            <w:pPr>
              <w:tabs>
                <w:tab w:val="left" w:pos="480"/>
              </w:tabs>
              <w:jc w:val="center"/>
              <w:rPr>
                <w:rFonts w:hint="eastAsia" w:ascii="仿宋" w:hAnsi="仿宋" w:cs="宋体"/>
                <w:sz w:val="24"/>
              </w:rPr>
            </w:pPr>
          </w:p>
        </w:tc>
        <w:tc>
          <w:tcPr>
            <w:tcW w:w="400" w:type="pct"/>
            <w:tcBorders>
              <w:top w:val="single" w:color="auto" w:sz="4" w:space="0"/>
              <w:left w:val="single" w:color="auto" w:sz="4" w:space="0"/>
              <w:bottom w:val="single" w:color="auto" w:sz="4" w:space="0"/>
              <w:right w:val="single" w:color="auto" w:sz="4" w:space="0"/>
            </w:tcBorders>
            <w:vAlign w:val="center"/>
          </w:tcPr>
          <w:p w14:paraId="3C67436A">
            <w:pPr>
              <w:tabs>
                <w:tab w:val="left" w:pos="480"/>
              </w:tabs>
              <w:jc w:val="center"/>
              <w:rPr>
                <w:rFonts w:hint="eastAsia" w:ascii="仿宋" w:hAnsi="仿宋" w:cs="宋体"/>
                <w:sz w:val="24"/>
              </w:rPr>
            </w:pPr>
          </w:p>
        </w:tc>
        <w:tc>
          <w:tcPr>
            <w:tcW w:w="503" w:type="pct"/>
            <w:tcBorders>
              <w:top w:val="single" w:color="auto" w:sz="4" w:space="0"/>
              <w:left w:val="single" w:color="auto" w:sz="4" w:space="0"/>
              <w:bottom w:val="single" w:color="auto" w:sz="4" w:space="0"/>
              <w:right w:val="single" w:color="auto" w:sz="4" w:space="0"/>
            </w:tcBorders>
            <w:vAlign w:val="center"/>
          </w:tcPr>
          <w:p w14:paraId="6091FAEB">
            <w:pPr>
              <w:tabs>
                <w:tab w:val="left" w:pos="480"/>
              </w:tabs>
              <w:jc w:val="center"/>
              <w:rPr>
                <w:rFonts w:hint="eastAsia" w:ascii="仿宋" w:hAnsi="仿宋" w:cs="宋体"/>
                <w:sz w:val="24"/>
              </w:rPr>
            </w:pPr>
          </w:p>
        </w:tc>
        <w:tc>
          <w:tcPr>
            <w:tcW w:w="563" w:type="pct"/>
            <w:tcBorders>
              <w:top w:val="single" w:color="auto" w:sz="4" w:space="0"/>
              <w:left w:val="single" w:color="auto" w:sz="4" w:space="0"/>
              <w:bottom w:val="single" w:color="auto" w:sz="4" w:space="0"/>
              <w:right w:val="single" w:color="auto" w:sz="4" w:space="0"/>
            </w:tcBorders>
            <w:vAlign w:val="center"/>
          </w:tcPr>
          <w:p w14:paraId="5B53F92A">
            <w:pPr>
              <w:tabs>
                <w:tab w:val="left" w:pos="480"/>
              </w:tabs>
              <w:jc w:val="center"/>
              <w:rPr>
                <w:rFonts w:hint="eastAsia" w:ascii="仿宋" w:hAnsi="仿宋" w:cs="宋体"/>
                <w:sz w:val="24"/>
              </w:rPr>
            </w:pPr>
          </w:p>
        </w:tc>
        <w:tc>
          <w:tcPr>
            <w:tcW w:w="394" w:type="pct"/>
            <w:tcBorders>
              <w:top w:val="single" w:color="auto" w:sz="4" w:space="0"/>
              <w:left w:val="single" w:color="auto" w:sz="4" w:space="0"/>
              <w:bottom w:val="single" w:color="auto" w:sz="4" w:space="0"/>
              <w:right w:val="single" w:color="auto" w:sz="4" w:space="0"/>
            </w:tcBorders>
            <w:vAlign w:val="center"/>
          </w:tcPr>
          <w:p w14:paraId="3F8A9A66">
            <w:pPr>
              <w:tabs>
                <w:tab w:val="left" w:pos="480"/>
              </w:tabs>
              <w:jc w:val="center"/>
              <w:rPr>
                <w:rFonts w:hint="eastAsia" w:ascii="仿宋" w:hAnsi="仿宋" w:cs="宋体"/>
                <w:sz w:val="24"/>
              </w:rPr>
            </w:pPr>
          </w:p>
        </w:tc>
      </w:tr>
      <w:tr w14:paraId="224E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3C2CA711">
            <w:pPr>
              <w:tabs>
                <w:tab w:val="left" w:pos="480"/>
              </w:tabs>
              <w:jc w:val="center"/>
              <w:rPr>
                <w:rFonts w:hint="eastAsia" w:ascii="仿宋" w:hAnsi="仿宋" w:cs="宋体"/>
                <w:sz w:val="24"/>
              </w:rPr>
            </w:pPr>
            <w:r>
              <w:rPr>
                <w:rFonts w:hint="eastAsia" w:ascii="仿宋" w:hAnsi="仿宋" w:cs="宋体"/>
                <w:sz w:val="24"/>
              </w:rPr>
              <w:t>2</w:t>
            </w:r>
          </w:p>
        </w:tc>
        <w:tc>
          <w:tcPr>
            <w:tcW w:w="597" w:type="pct"/>
            <w:tcBorders>
              <w:top w:val="single" w:color="auto" w:sz="4" w:space="0"/>
              <w:left w:val="single" w:color="auto" w:sz="4" w:space="0"/>
              <w:bottom w:val="single" w:color="auto" w:sz="4" w:space="0"/>
              <w:right w:val="single" w:color="auto" w:sz="4" w:space="0"/>
            </w:tcBorders>
            <w:vAlign w:val="center"/>
          </w:tcPr>
          <w:p w14:paraId="181206E7">
            <w:pPr>
              <w:tabs>
                <w:tab w:val="left" w:pos="480"/>
              </w:tabs>
              <w:jc w:val="center"/>
              <w:rPr>
                <w:rFonts w:hint="eastAsia" w:ascii="仿宋" w:hAnsi="仿宋" w:cs="宋体"/>
                <w:sz w:val="24"/>
              </w:rPr>
            </w:pPr>
          </w:p>
        </w:tc>
        <w:tc>
          <w:tcPr>
            <w:tcW w:w="668" w:type="pct"/>
            <w:tcBorders>
              <w:top w:val="single" w:color="auto" w:sz="4" w:space="0"/>
              <w:left w:val="single" w:color="auto" w:sz="4" w:space="0"/>
              <w:bottom w:val="single" w:color="auto" w:sz="4" w:space="0"/>
              <w:right w:val="single" w:color="auto" w:sz="4" w:space="0"/>
            </w:tcBorders>
            <w:vAlign w:val="center"/>
          </w:tcPr>
          <w:p w14:paraId="069F8996">
            <w:pPr>
              <w:tabs>
                <w:tab w:val="left" w:pos="480"/>
              </w:tabs>
              <w:jc w:val="center"/>
              <w:rPr>
                <w:rFonts w:hint="eastAsia" w:ascii="仿宋" w:hAnsi="仿宋" w:cs="宋体"/>
                <w:sz w:val="24"/>
              </w:rPr>
            </w:pPr>
          </w:p>
        </w:tc>
        <w:tc>
          <w:tcPr>
            <w:tcW w:w="436" w:type="pct"/>
            <w:tcBorders>
              <w:top w:val="single" w:color="auto" w:sz="4" w:space="0"/>
              <w:left w:val="single" w:color="auto" w:sz="4" w:space="0"/>
              <w:bottom w:val="single" w:color="auto" w:sz="4" w:space="0"/>
              <w:right w:val="single" w:color="auto" w:sz="4" w:space="0"/>
            </w:tcBorders>
            <w:vAlign w:val="center"/>
          </w:tcPr>
          <w:p w14:paraId="316E05C7">
            <w:pPr>
              <w:tabs>
                <w:tab w:val="left" w:pos="480"/>
              </w:tabs>
              <w:jc w:val="center"/>
              <w:rPr>
                <w:rFonts w:hint="eastAsia" w:ascii="仿宋" w:hAnsi="仿宋" w:cs="宋体"/>
                <w:sz w:val="24"/>
              </w:rPr>
            </w:pPr>
          </w:p>
        </w:tc>
        <w:tc>
          <w:tcPr>
            <w:tcW w:w="622" w:type="pct"/>
            <w:tcBorders>
              <w:top w:val="single" w:color="auto" w:sz="4" w:space="0"/>
              <w:left w:val="single" w:color="auto" w:sz="4" w:space="0"/>
              <w:bottom w:val="single" w:color="auto" w:sz="4" w:space="0"/>
              <w:right w:val="single" w:color="auto" w:sz="4" w:space="0"/>
            </w:tcBorders>
            <w:vAlign w:val="center"/>
          </w:tcPr>
          <w:p w14:paraId="64E0654E">
            <w:pPr>
              <w:tabs>
                <w:tab w:val="left" w:pos="480"/>
              </w:tabs>
              <w:jc w:val="center"/>
              <w:rPr>
                <w:rFonts w:hint="eastAsia" w:ascii="仿宋" w:hAnsi="仿宋" w:cs="宋体"/>
                <w:sz w:val="24"/>
              </w:rPr>
            </w:pPr>
          </w:p>
        </w:tc>
        <w:tc>
          <w:tcPr>
            <w:tcW w:w="433" w:type="pct"/>
            <w:tcBorders>
              <w:top w:val="single" w:color="auto" w:sz="4" w:space="0"/>
              <w:left w:val="single" w:color="auto" w:sz="4" w:space="0"/>
              <w:bottom w:val="single" w:color="auto" w:sz="4" w:space="0"/>
              <w:right w:val="single" w:color="auto" w:sz="4" w:space="0"/>
            </w:tcBorders>
            <w:vAlign w:val="center"/>
          </w:tcPr>
          <w:p w14:paraId="0F9B3C27">
            <w:pPr>
              <w:tabs>
                <w:tab w:val="left" w:pos="480"/>
              </w:tabs>
              <w:jc w:val="center"/>
              <w:rPr>
                <w:rFonts w:hint="eastAsia" w:ascii="仿宋" w:hAnsi="仿宋" w:cs="宋体"/>
                <w:sz w:val="24"/>
              </w:rPr>
            </w:pPr>
          </w:p>
        </w:tc>
        <w:tc>
          <w:tcPr>
            <w:tcW w:w="400" w:type="pct"/>
            <w:tcBorders>
              <w:top w:val="single" w:color="auto" w:sz="4" w:space="0"/>
              <w:left w:val="single" w:color="auto" w:sz="4" w:space="0"/>
              <w:bottom w:val="single" w:color="auto" w:sz="4" w:space="0"/>
              <w:right w:val="single" w:color="auto" w:sz="4" w:space="0"/>
            </w:tcBorders>
            <w:vAlign w:val="center"/>
          </w:tcPr>
          <w:p w14:paraId="515F5D56">
            <w:pPr>
              <w:tabs>
                <w:tab w:val="left" w:pos="480"/>
              </w:tabs>
              <w:jc w:val="center"/>
              <w:rPr>
                <w:rFonts w:hint="eastAsia" w:ascii="仿宋" w:hAnsi="仿宋" w:cs="宋体"/>
                <w:sz w:val="24"/>
              </w:rPr>
            </w:pPr>
          </w:p>
        </w:tc>
        <w:tc>
          <w:tcPr>
            <w:tcW w:w="503" w:type="pct"/>
            <w:tcBorders>
              <w:top w:val="single" w:color="auto" w:sz="4" w:space="0"/>
              <w:left w:val="single" w:color="auto" w:sz="4" w:space="0"/>
              <w:bottom w:val="single" w:color="auto" w:sz="4" w:space="0"/>
              <w:right w:val="single" w:color="auto" w:sz="4" w:space="0"/>
            </w:tcBorders>
            <w:vAlign w:val="center"/>
          </w:tcPr>
          <w:p w14:paraId="528C9CC9">
            <w:pPr>
              <w:tabs>
                <w:tab w:val="left" w:pos="480"/>
              </w:tabs>
              <w:jc w:val="center"/>
              <w:rPr>
                <w:rFonts w:hint="eastAsia" w:ascii="仿宋" w:hAnsi="仿宋" w:cs="宋体"/>
                <w:sz w:val="24"/>
              </w:rPr>
            </w:pPr>
          </w:p>
        </w:tc>
        <w:tc>
          <w:tcPr>
            <w:tcW w:w="563" w:type="pct"/>
            <w:tcBorders>
              <w:top w:val="single" w:color="auto" w:sz="4" w:space="0"/>
              <w:left w:val="single" w:color="auto" w:sz="4" w:space="0"/>
              <w:bottom w:val="single" w:color="auto" w:sz="4" w:space="0"/>
              <w:right w:val="single" w:color="auto" w:sz="4" w:space="0"/>
            </w:tcBorders>
            <w:vAlign w:val="center"/>
          </w:tcPr>
          <w:p w14:paraId="77679E1D">
            <w:pPr>
              <w:tabs>
                <w:tab w:val="left" w:pos="480"/>
              </w:tabs>
              <w:jc w:val="center"/>
              <w:rPr>
                <w:rFonts w:hint="eastAsia" w:ascii="仿宋" w:hAnsi="仿宋" w:cs="宋体"/>
                <w:sz w:val="24"/>
              </w:rPr>
            </w:pPr>
          </w:p>
        </w:tc>
        <w:tc>
          <w:tcPr>
            <w:tcW w:w="394" w:type="pct"/>
            <w:tcBorders>
              <w:top w:val="single" w:color="auto" w:sz="4" w:space="0"/>
              <w:left w:val="single" w:color="auto" w:sz="4" w:space="0"/>
              <w:bottom w:val="single" w:color="auto" w:sz="4" w:space="0"/>
              <w:right w:val="single" w:color="auto" w:sz="4" w:space="0"/>
            </w:tcBorders>
            <w:vAlign w:val="center"/>
          </w:tcPr>
          <w:p w14:paraId="5D29A93B">
            <w:pPr>
              <w:tabs>
                <w:tab w:val="left" w:pos="480"/>
              </w:tabs>
              <w:jc w:val="center"/>
              <w:rPr>
                <w:rFonts w:hint="eastAsia" w:ascii="仿宋" w:hAnsi="仿宋" w:cs="宋体"/>
                <w:sz w:val="24"/>
              </w:rPr>
            </w:pPr>
          </w:p>
        </w:tc>
      </w:tr>
      <w:tr w14:paraId="243AB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2C7F21A6">
            <w:pPr>
              <w:tabs>
                <w:tab w:val="left" w:pos="480"/>
              </w:tabs>
              <w:rPr>
                <w:rFonts w:hint="eastAsia" w:ascii="仿宋" w:hAnsi="仿宋" w:cs="宋体"/>
                <w:sz w:val="24"/>
              </w:rPr>
            </w:pPr>
            <w:r>
              <w:rPr>
                <w:rFonts w:hint="eastAsia" w:ascii="仿宋" w:hAnsi="仿宋" w:cs="宋体"/>
                <w:sz w:val="24"/>
              </w:rPr>
              <w:t>合计：</w:t>
            </w:r>
            <w:r>
              <w:rPr>
                <w:rFonts w:hint="eastAsia" w:ascii="仿宋" w:hAnsi="仿宋" w:cs="宋体"/>
                <w:b/>
                <w:bCs/>
                <w:sz w:val="24"/>
              </w:rPr>
              <w:t>人民币（大写）：         元整  （</w:t>
            </w:r>
            <w:r>
              <w:rPr>
                <w:rFonts w:ascii="Calibri" w:hAnsi="Calibri" w:cs="Calibri"/>
                <w:b/>
                <w:bCs/>
                <w:sz w:val="24"/>
              </w:rPr>
              <w:t>¥</w:t>
            </w:r>
            <w:r>
              <w:rPr>
                <w:rFonts w:hint="eastAsia" w:ascii="仿宋" w:hAnsi="仿宋" w:cs="宋体"/>
                <w:b/>
                <w:bCs/>
                <w:sz w:val="24"/>
              </w:rPr>
              <w:t>:      元）</w:t>
            </w:r>
          </w:p>
        </w:tc>
      </w:tr>
    </w:tbl>
    <w:p w14:paraId="7AF59F18">
      <w:pPr>
        <w:tabs>
          <w:tab w:val="left" w:pos="480"/>
        </w:tabs>
        <w:spacing w:line="300" w:lineRule="auto"/>
        <w:ind w:firstLine="482" w:firstLineChars="200"/>
        <w:rPr>
          <w:rFonts w:hint="eastAsia" w:ascii="仿宋" w:hAnsi="仿宋" w:cs="宋体"/>
          <w:b/>
          <w:sz w:val="24"/>
        </w:rPr>
      </w:pPr>
      <w:r>
        <w:rPr>
          <w:rFonts w:hint="eastAsia" w:ascii="仿宋" w:hAnsi="仿宋" w:cs="宋体"/>
          <w:b/>
          <w:sz w:val="24"/>
        </w:rPr>
        <w:t>二、合同价款</w:t>
      </w:r>
    </w:p>
    <w:p w14:paraId="3BE553D4">
      <w:pPr>
        <w:tabs>
          <w:tab w:val="left" w:pos="480"/>
        </w:tabs>
        <w:spacing w:line="300" w:lineRule="auto"/>
        <w:ind w:firstLine="200"/>
        <w:rPr>
          <w:rFonts w:hint="eastAsia" w:ascii="仿宋" w:hAnsi="仿宋" w:cs="宋体"/>
          <w:sz w:val="24"/>
        </w:rPr>
      </w:pPr>
      <w:r>
        <w:rPr>
          <w:rFonts w:hint="eastAsia" w:ascii="仿宋" w:hAnsi="仿宋" w:cs="宋体"/>
          <w:sz w:val="24"/>
        </w:rPr>
        <w:t>（一）合同总价款为人民币（大写）</w:t>
      </w:r>
      <w:r>
        <w:rPr>
          <w:rFonts w:hint="eastAsia" w:ascii="仿宋" w:hAnsi="仿宋" w:cs="宋体"/>
          <w:sz w:val="24"/>
          <w:u w:val="single"/>
        </w:rPr>
        <w:t>：        元整（</w:t>
      </w:r>
      <w:r>
        <w:rPr>
          <w:rFonts w:ascii="Calibri" w:hAnsi="Calibri" w:cs="Calibri"/>
          <w:sz w:val="24"/>
          <w:u w:val="single"/>
        </w:rPr>
        <w:t>¥</w:t>
      </w:r>
      <w:r>
        <w:rPr>
          <w:rFonts w:hint="eastAsia" w:ascii="仿宋" w:hAnsi="仿宋" w:cs="宋体"/>
          <w:sz w:val="24"/>
          <w:u w:val="single"/>
        </w:rPr>
        <w:t xml:space="preserve">          元）</w:t>
      </w:r>
      <w:r>
        <w:rPr>
          <w:rFonts w:hint="eastAsia" w:ascii="仿宋" w:hAnsi="仿宋" w:cs="宋体"/>
          <w:sz w:val="24"/>
        </w:rPr>
        <w:t>。</w:t>
      </w:r>
    </w:p>
    <w:p w14:paraId="67CDCC72">
      <w:pPr>
        <w:tabs>
          <w:tab w:val="left" w:pos="480"/>
        </w:tabs>
        <w:spacing w:line="300" w:lineRule="auto"/>
        <w:ind w:firstLine="200"/>
        <w:rPr>
          <w:rFonts w:hint="eastAsia" w:ascii="仿宋" w:hAnsi="仿宋" w:cs="宋体"/>
          <w:sz w:val="24"/>
        </w:rPr>
      </w:pPr>
      <w:r>
        <w:rPr>
          <w:rFonts w:hint="eastAsia" w:ascii="仿宋" w:hAnsi="仿宋" w:cs="宋体"/>
          <w:sz w:val="24"/>
        </w:rPr>
        <w:t>（二）合同总价包括：货物费、运输费（含保险费）、装卸费、检测验收、税金（含关税）培训费、技术服务及其它费用。</w:t>
      </w:r>
    </w:p>
    <w:p w14:paraId="5D2928D9">
      <w:pPr>
        <w:tabs>
          <w:tab w:val="left" w:pos="480"/>
        </w:tabs>
        <w:spacing w:line="300" w:lineRule="auto"/>
        <w:ind w:firstLine="200"/>
        <w:rPr>
          <w:rFonts w:hint="eastAsia" w:ascii="仿宋" w:hAnsi="仿宋" w:cs="宋体"/>
          <w:sz w:val="24"/>
        </w:rPr>
      </w:pPr>
      <w:r>
        <w:rPr>
          <w:rFonts w:hint="eastAsia" w:ascii="仿宋" w:hAnsi="仿宋" w:cs="宋体"/>
          <w:sz w:val="24"/>
        </w:rPr>
        <w:t>（三）合同总价一次性包死，不受市场价格变化因素的影响。</w:t>
      </w:r>
    </w:p>
    <w:p w14:paraId="0F10FB34">
      <w:pPr>
        <w:tabs>
          <w:tab w:val="left" w:pos="480"/>
        </w:tabs>
        <w:spacing w:line="300" w:lineRule="auto"/>
        <w:ind w:firstLine="482" w:firstLineChars="200"/>
        <w:rPr>
          <w:rFonts w:hint="eastAsia" w:ascii="仿宋" w:hAnsi="仿宋" w:cs="宋体"/>
          <w:sz w:val="24"/>
        </w:rPr>
      </w:pPr>
      <w:r>
        <w:rPr>
          <w:rFonts w:hint="eastAsia" w:ascii="仿宋" w:hAnsi="仿宋" w:cs="宋体"/>
          <w:b/>
          <w:sz w:val="24"/>
        </w:rPr>
        <w:t>三、款项结算</w:t>
      </w:r>
    </w:p>
    <w:p w14:paraId="1981C2B9">
      <w:pPr>
        <w:spacing w:line="300" w:lineRule="auto"/>
        <w:ind w:firstLine="480" w:firstLineChars="200"/>
        <w:rPr>
          <w:rFonts w:hint="eastAsia" w:ascii="仿宋" w:hAnsi="仿宋" w:cs="宋体"/>
          <w:sz w:val="24"/>
        </w:rPr>
      </w:pPr>
      <w:r>
        <w:rPr>
          <w:rFonts w:hint="eastAsia" w:ascii="仿宋" w:hAnsi="仿宋" w:cs="宋体"/>
          <w:sz w:val="24"/>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仿宋" w:hAnsi="仿宋" w:cs="宋体"/>
          <w:sz w:val="24"/>
          <w:u w:val="single"/>
        </w:rPr>
        <w:t xml:space="preserve">         </w:t>
      </w:r>
      <w:r>
        <w:rPr>
          <w:rFonts w:hint="eastAsia" w:ascii="仿宋" w:hAnsi="仿宋" w:cs="宋体"/>
          <w:sz w:val="24"/>
        </w:rPr>
        <w:t>元整（</w:t>
      </w:r>
      <w:r>
        <w:rPr>
          <w:rFonts w:ascii="Calibri" w:hAnsi="Calibri" w:cs="Calibri"/>
          <w:sz w:val="24"/>
        </w:rPr>
        <w:t>¥</w:t>
      </w:r>
      <w:r>
        <w:rPr>
          <w:rFonts w:hint="eastAsia" w:ascii="仿宋" w:hAnsi="仿宋" w:cs="宋体"/>
          <w:sz w:val="24"/>
          <w:u w:val="single"/>
        </w:rPr>
        <w:t xml:space="preserve">         </w:t>
      </w:r>
      <w:r>
        <w:rPr>
          <w:rFonts w:hint="eastAsia" w:ascii="仿宋" w:hAnsi="仿宋" w:cs="宋体"/>
          <w:sz w:val="24"/>
        </w:rPr>
        <w:t>元）。</w:t>
      </w:r>
    </w:p>
    <w:p w14:paraId="2217FBF7">
      <w:pPr>
        <w:spacing w:line="300" w:lineRule="auto"/>
        <w:ind w:firstLine="482" w:firstLineChars="200"/>
        <w:rPr>
          <w:rFonts w:hint="eastAsia" w:ascii="仿宋" w:hAnsi="仿宋" w:cs="宋体"/>
          <w:b/>
          <w:sz w:val="24"/>
        </w:rPr>
      </w:pPr>
      <w:r>
        <w:rPr>
          <w:rFonts w:hint="eastAsia" w:ascii="仿宋" w:hAnsi="仿宋" w:cs="宋体"/>
          <w:b/>
          <w:sz w:val="24"/>
        </w:rPr>
        <w:t>四、交货条件：</w:t>
      </w:r>
    </w:p>
    <w:p w14:paraId="0D29F485">
      <w:pPr>
        <w:tabs>
          <w:tab w:val="left" w:pos="480"/>
        </w:tabs>
        <w:spacing w:line="300" w:lineRule="auto"/>
        <w:ind w:firstLine="200"/>
        <w:rPr>
          <w:rFonts w:hint="eastAsia" w:ascii="仿宋" w:hAnsi="仿宋" w:cs="宋体"/>
          <w:sz w:val="24"/>
        </w:rPr>
      </w:pPr>
      <w:r>
        <w:rPr>
          <w:rFonts w:hint="eastAsia" w:ascii="仿宋" w:hAnsi="仿宋" w:cs="宋体"/>
          <w:sz w:val="24"/>
        </w:rPr>
        <w:t>（一）交货地点：西安市疾病预防控制中心指定地点。</w:t>
      </w:r>
    </w:p>
    <w:p w14:paraId="1D96583A">
      <w:pPr>
        <w:tabs>
          <w:tab w:val="left" w:pos="480"/>
        </w:tabs>
        <w:spacing w:line="300" w:lineRule="auto"/>
        <w:ind w:firstLine="200"/>
        <w:rPr>
          <w:rFonts w:hint="eastAsia" w:ascii="仿宋" w:hAnsi="仿宋" w:cs="宋体"/>
          <w:sz w:val="24"/>
        </w:rPr>
      </w:pPr>
      <w:r>
        <w:rPr>
          <w:rFonts w:hint="eastAsia" w:ascii="仿宋" w:hAnsi="仿宋" w:cs="宋体"/>
          <w:sz w:val="24"/>
        </w:rPr>
        <w:t>（二）交货期：合同签订完毕，采购人下达供货通知后30天内完成供货及验收。</w:t>
      </w:r>
    </w:p>
    <w:p w14:paraId="2BC36E9B">
      <w:pPr>
        <w:tabs>
          <w:tab w:val="left" w:pos="480"/>
        </w:tabs>
        <w:spacing w:line="300" w:lineRule="auto"/>
        <w:ind w:firstLine="200"/>
        <w:rPr>
          <w:rFonts w:hint="eastAsia" w:ascii="仿宋" w:hAnsi="仿宋" w:cs="宋体"/>
          <w:sz w:val="24"/>
          <w:highlight w:val="none"/>
        </w:rPr>
      </w:pPr>
      <w:r>
        <w:rPr>
          <w:rFonts w:hint="eastAsia" w:ascii="仿宋" w:hAnsi="仿宋" w:cs="宋体"/>
          <w:sz w:val="24"/>
          <w:highlight w:val="none"/>
        </w:rPr>
        <w:t>（三）有效期：试剂到交货地点的有效期</w:t>
      </w:r>
      <w:r>
        <w:rPr>
          <w:rFonts w:hint="eastAsia" w:ascii="仿宋" w:hAnsi="仿宋" w:cs="宋体"/>
          <w:sz w:val="24"/>
          <w:highlight w:val="none"/>
          <w:u w:val="single"/>
        </w:rPr>
        <w:t xml:space="preserve">    </w:t>
      </w:r>
      <w:r>
        <w:rPr>
          <w:rFonts w:hint="eastAsia" w:ascii="仿宋" w:hAnsi="仿宋" w:cs="宋体"/>
          <w:sz w:val="24"/>
          <w:highlight w:val="none"/>
        </w:rPr>
        <w:t>个月。</w:t>
      </w:r>
    </w:p>
    <w:p w14:paraId="0376F95E">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五、运输</w:t>
      </w:r>
    </w:p>
    <w:p w14:paraId="06494273">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（一）运输由乙方负责，运杂费已包含在合同总价内，包括从货物供应地点至交货地点所含的运输费、装卸费、仓储费、保险费等。</w:t>
      </w:r>
    </w:p>
    <w:p w14:paraId="4386EB34">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（二）运输方式由乙方自行选择，但必须保证按期交货。</w:t>
      </w:r>
    </w:p>
    <w:p w14:paraId="29F9F0ED">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（三）因运输产生的一切风险及质量问题均由乙方承担。</w:t>
      </w:r>
    </w:p>
    <w:p w14:paraId="749C6F10">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六、质量保证</w:t>
      </w:r>
    </w:p>
    <w:p w14:paraId="305DB725">
      <w:pPr>
        <w:tabs>
          <w:tab w:val="left" w:pos="480"/>
        </w:tabs>
        <w:spacing w:line="300" w:lineRule="auto"/>
        <w:ind w:firstLine="480" w:firstLineChars="200"/>
        <w:rPr>
          <w:rFonts w:hint="eastAsia" w:ascii="仿宋" w:hAnsi="仿宋" w:cs="宋体"/>
          <w:sz w:val="24"/>
        </w:rPr>
      </w:pPr>
      <w:r>
        <w:rPr>
          <w:rFonts w:hint="eastAsia" w:ascii="仿宋" w:hAnsi="仿宋" w:cs="宋体"/>
          <w:sz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1647C383">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七、售后服务</w:t>
      </w:r>
    </w:p>
    <w:p w14:paraId="5A242D7D">
      <w:pPr>
        <w:tabs>
          <w:tab w:val="left" w:pos="480"/>
        </w:tabs>
        <w:spacing w:line="300" w:lineRule="auto"/>
        <w:ind w:firstLine="480" w:firstLineChars="200"/>
        <w:rPr>
          <w:rFonts w:hint="eastAsia" w:ascii="仿宋" w:hAnsi="仿宋" w:cs="宋体"/>
          <w:sz w:val="24"/>
        </w:rPr>
      </w:pPr>
      <w:r>
        <w:rPr>
          <w:rFonts w:hint="eastAsia" w:ascii="仿宋" w:hAnsi="仿宋" w:cs="宋体"/>
          <w:sz w:val="24"/>
        </w:rPr>
        <w:t>乙方为甲方所供货物须提供以下售后服务：</w:t>
      </w:r>
    </w:p>
    <w:p w14:paraId="6660ED38">
      <w:pPr>
        <w:tabs>
          <w:tab w:val="left" w:pos="480"/>
        </w:tabs>
        <w:spacing w:line="300" w:lineRule="auto"/>
        <w:ind w:firstLine="480" w:firstLineChars="200"/>
        <w:rPr>
          <w:rFonts w:hint="eastAsia" w:ascii="仿宋" w:hAnsi="仿宋" w:cs="宋体"/>
          <w:sz w:val="24"/>
          <w:highlight w:val="none"/>
        </w:rPr>
      </w:pPr>
      <w:r>
        <w:rPr>
          <w:rFonts w:hint="eastAsia" w:ascii="仿宋" w:hAnsi="仿宋" w:cs="宋体"/>
          <w:sz w:val="24"/>
          <w:highlight w:val="none"/>
        </w:rPr>
        <w:t>（一）自货物验收合格之日起计算,质保</w:t>
      </w:r>
      <w:r>
        <w:rPr>
          <w:rFonts w:hint="eastAsia" w:ascii="仿宋" w:hAnsi="仿宋" w:cs="宋体"/>
          <w:sz w:val="24"/>
          <w:highlight w:val="none"/>
          <w:u w:val="single"/>
        </w:rPr>
        <w:t xml:space="preserve">     </w:t>
      </w:r>
      <w:r>
        <w:rPr>
          <w:rFonts w:hint="eastAsia" w:ascii="仿宋" w:hAnsi="仿宋" w:cs="宋体"/>
          <w:sz w:val="24"/>
          <w:highlight w:val="none"/>
        </w:rPr>
        <w:t>个月。</w:t>
      </w:r>
    </w:p>
    <w:p w14:paraId="35AC8F25">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（二）在质量保证期内，乙方对由于设计、工艺或材料的缺陷或运输、保存而产生的事故负责（负责解决并承担全部费用）。</w:t>
      </w:r>
    </w:p>
    <w:p w14:paraId="37FC53C9">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八、技术与服务</w:t>
      </w:r>
    </w:p>
    <w:p w14:paraId="66271B96">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（一）技术资料：</w:t>
      </w:r>
    </w:p>
    <w:p w14:paraId="055A33F8">
      <w:pPr>
        <w:tabs>
          <w:tab w:val="left" w:pos="480"/>
        </w:tabs>
        <w:spacing w:line="300" w:lineRule="auto"/>
        <w:ind w:firstLine="480" w:firstLineChars="200"/>
        <w:rPr>
          <w:rFonts w:hint="eastAsia" w:ascii="仿宋" w:hAnsi="仿宋" w:cs="宋体"/>
          <w:sz w:val="24"/>
        </w:rPr>
      </w:pPr>
      <w:r>
        <w:rPr>
          <w:rFonts w:hint="eastAsia" w:ascii="仿宋" w:hAnsi="仿宋" w:cs="宋体"/>
          <w:sz w:val="24"/>
        </w:rPr>
        <w:t>1.操作使用说明和保存条件。</w:t>
      </w:r>
    </w:p>
    <w:p w14:paraId="708868D6">
      <w:pPr>
        <w:tabs>
          <w:tab w:val="left" w:pos="480"/>
        </w:tabs>
        <w:spacing w:line="300" w:lineRule="auto"/>
        <w:ind w:firstLine="480" w:firstLineChars="200"/>
        <w:rPr>
          <w:rFonts w:hint="eastAsia" w:ascii="仿宋" w:hAnsi="仿宋" w:cs="宋体"/>
          <w:sz w:val="24"/>
        </w:rPr>
      </w:pPr>
      <w:r>
        <w:rPr>
          <w:rFonts w:hint="eastAsia" w:ascii="仿宋" w:hAnsi="仿宋" w:cs="宋体"/>
          <w:sz w:val="24"/>
        </w:rPr>
        <w:t>2.制造厂商的检验、测试报告、检验合格证书，质量保证书等文件须验收时一并提供。</w:t>
      </w:r>
    </w:p>
    <w:p w14:paraId="3C2ADF57">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3.货物验收标准      </w:t>
      </w:r>
    </w:p>
    <w:p w14:paraId="53C6E159">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4.使用说明书                </w:t>
      </w:r>
    </w:p>
    <w:p w14:paraId="0FBFFDE2">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5.必须的其它技术资料。      </w:t>
      </w:r>
    </w:p>
    <w:p w14:paraId="537B85D1">
      <w:pPr>
        <w:tabs>
          <w:tab w:val="left" w:pos="480"/>
        </w:tabs>
        <w:spacing w:line="300" w:lineRule="auto"/>
        <w:ind w:firstLine="480" w:firstLineChars="200"/>
        <w:rPr>
          <w:rFonts w:hint="eastAsia" w:ascii="仿宋" w:hAnsi="仿宋" w:cs="宋体"/>
          <w:sz w:val="24"/>
        </w:rPr>
      </w:pPr>
      <w:r>
        <w:rPr>
          <w:rFonts w:hint="eastAsia" w:ascii="仿宋" w:hAnsi="仿宋" w:cs="宋体"/>
          <w:sz w:val="24"/>
        </w:rPr>
        <w:t>6.合同中要求的其他文件资料</w:t>
      </w:r>
    </w:p>
    <w:p w14:paraId="44C97E0A">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（二）服务承诺：以投标文件、澄清表（函）、合同和随货物的相关文件为准。</w:t>
      </w:r>
    </w:p>
    <w:p w14:paraId="00F51AAE">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九、验收</w:t>
      </w:r>
    </w:p>
    <w:p w14:paraId="560D3EE8">
      <w:pPr>
        <w:tabs>
          <w:tab w:val="left" w:pos="480"/>
        </w:tabs>
        <w:spacing w:line="300" w:lineRule="auto"/>
        <w:ind w:firstLine="480" w:firstLineChars="200"/>
        <w:rPr>
          <w:rFonts w:hint="eastAsia" w:ascii="仿宋" w:hAnsi="仿宋" w:cs="宋体"/>
          <w:sz w:val="24"/>
        </w:rPr>
      </w:pPr>
      <w:r>
        <w:rPr>
          <w:rFonts w:hint="eastAsia" w:ascii="仿宋" w:hAnsi="仿宋" w:cs="宋体"/>
          <w:sz w:val="24"/>
        </w:rPr>
        <w:t>由甲方和乙方共同对货物进行验收。其内容包括确认货物的包装、产地、规格、型号和数量，对其货物技术指标、性能参数进行逐项核验。</w:t>
      </w:r>
    </w:p>
    <w:p w14:paraId="55331EE0">
      <w:pPr>
        <w:tabs>
          <w:tab w:val="left" w:pos="480"/>
        </w:tabs>
        <w:spacing w:line="300" w:lineRule="auto"/>
        <w:ind w:firstLine="480" w:firstLineChars="200"/>
        <w:rPr>
          <w:rFonts w:hint="eastAsia" w:ascii="仿宋" w:hAnsi="仿宋" w:cs="宋体"/>
          <w:sz w:val="24"/>
        </w:rPr>
      </w:pPr>
      <w:r>
        <w:rPr>
          <w:rFonts w:hint="eastAsia" w:ascii="仿宋" w:hAnsi="仿宋" w:cs="宋体"/>
          <w:sz w:val="24"/>
        </w:rPr>
        <w:t>1.验收货物的指标、性能参数通过验收达到合同要求，或出现甲方不能正常使用的情况，将视为验收不合格，乙方应及时更换或退货。</w:t>
      </w:r>
    </w:p>
    <w:p w14:paraId="25345F74">
      <w:pPr>
        <w:tabs>
          <w:tab w:val="left" w:pos="480"/>
        </w:tabs>
        <w:spacing w:line="300" w:lineRule="auto"/>
        <w:ind w:firstLine="480" w:firstLineChars="200"/>
        <w:rPr>
          <w:rFonts w:hint="eastAsia" w:ascii="仿宋" w:hAnsi="仿宋" w:cs="宋体"/>
          <w:sz w:val="24"/>
        </w:rPr>
      </w:pPr>
      <w:r>
        <w:rPr>
          <w:rFonts w:hint="eastAsia" w:ascii="仿宋" w:hAnsi="仿宋" w:cs="宋体"/>
          <w:sz w:val="24"/>
        </w:rPr>
        <w:t>2.若发现乙方有弄虚作假的，故意或随意夸大货物技术性能，甲方除要求退货外，有权要求乙方赔偿甲方相应的损失。</w:t>
      </w:r>
    </w:p>
    <w:p w14:paraId="653EA414">
      <w:pPr>
        <w:tabs>
          <w:tab w:val="left" w:pos="480"/>
        </w:tabs>
        <w:spacing w:line="300" w:lineRule="auto"/>
        <w:ind w:firstLine="480" w:firstLineChars="200"/>
        <w:rPr>
          <w:rFonts w:hint="eastAsia" w:ascii="仿宋" w:hAnsi="仿宋" w:cs="宋体"/>
          <w:sz w:val="24"/>
        </w:rPr>
      </w:pPr>
      <w:r>
        <w:rPr>
          <w:rFonts w:hint="eastAsia" w:ascii="仿宋" w:hAnsi="仿宋" w:cs="宋体"/>
          <w:sz w:val="24"/>
        </w:rPr>
        <w:t>3.验收标准：按合同文件及澄清等技术指标进行验收。货物的各项指标均应符合验收标准及要求。</w:t>
      </w:r>
    </w:p>
    <w:p w14:paraId="2F298349">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4.验收合格后，填写验收单，甲方签字后生效。                </w:t>
      </w:r>
    </w:p>
    <w:p w14:paraId="669E5033">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5.验收依据：                                                    </w:t>
      </w:r>
    </w:p>
    <w:p w14:paraId="627795B5">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5.1本合同文本：                                                                         </w:t>
      </w:r>
    </w:p>
    <w:p w14:paraId="20B73126">
      <w:pPr>
        <w:tabs>
          <w:tab w:val="left" w:pos="480"/>
        </w:tabs>
        <w:spacing w:line="300" w:lineRule="auto"/>
        <w:ind w:firstLine="480" w:firstLineChars="200"/>
        <w:rPr>
          <w:rFonts w:hint="eastAsia" w:ascii="仿宋" w:hAnsi="仿宋" w:cs="宋体"/>
          <w:sz w:val="24"/>
        </w:rPr>
      </w:pPr>
      <w:r>
        <w:rPr>
          <w:rFonts w:hint="eastAsia" w:ascii="仿宋" w:hAnsi="仿宋" w:cs="宋体"/>
          <w:sz w:val="24"/>
        </w:rPr>
        <w:t xml:space="preserve">5.2国家和行业制定的相应的标准和规范。                          </w:t>
      </w:r>
    </w:p>
    <w:p w14:paraId="2EE543F7">
      <w:pPr>
        <w:tabs>
          <w:tab w:val="left" w:pos="480"/>
        </w:tabs>
        <w:spacing w:line="300" w:lineRule="auto"/>
        <w:ind w:firstLine="480" w:firstLineChars="200"/>
        <w:rPr>
          <w:rFonts w:hint="eastAsia" w:ascii="仿宋" w:hAnsi="仿宋" w:cs="宋体"/>
          <w:sz w:val="24"/>
        </w:rPr>
      </w:pPr>
      <w:r>
        <w:rPr>
          <w:rFonts w:hint="eastAsia" w:ascii="仿宋" w:hAnsi="仿宋" w:cs="宋体"/>
          <w:sz w:val="24"/>
        </w:rPr>
        <w:t>5.3验收清单（注明品名、数量、价格、规格型号、产地和生产厂家）。</w:t>
      </w:r>
    </w:p>
    <w:p w14:paraId="2C6D274F">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十、违约责任</w:t>
      </w:r>
    </w:p>
    <w:p w14:paraId="7289CD99">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（一）按《民法典》中的相关条款执行。</w:t>
      </w:r>
    </w:p>
    <w:p w14:paraId="2BA166DC">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69F3DE8F">
      <w:pPr>
        <w:tabs>
          <w:tab w:val="left" w:pos="480"/>
        </w:tabs>
        <w:spacing w:line="300" w:lineRule="auto"/>
        <w:ind w:firstLine="480" w:firstLineChars="200"/>
        <w:rPr>
          <w:rFonts w:hint="eastAsia" w:ascii="仿宋" w:hAnsi="仿宋" w:cs="宋体"/>
          <w:sz w:val="24"/>
        </w:rPr>
      </w:pPr>
      <w:r>
        <w:rPr>
          <w:rFonts w:hint="eastAsia" w:ascii="仿宋" w:hAnsi="仿宋" w:cs="宋体"/>
          <w:sz w:val="24"/>
        </w:rPr>
        <w:t>1.乙方赔偿甲方解除合同的全部损失（包括但不限于重新采购产生的费用、合同未履行导致货物不能按规划交付使用可能产生的由此造成的甲方对第三方的违约损失）；</w:t>
      </w:r>
    </w:p>
    <w:p w14:paraId="4BAE0F95">
      <w:pPr>
        <w:tabs>
          <w:tab w:val="left" w:pos="480"/>
        </w:tabs>
        <w:spacing w:line="300" w:lineRule="auto"/>
        <w:ind w:firstLine="480" w:firstLineChars="200"/>
        <w:rPr>
          <w:rFonts w:hint="eastAsia" w:ascii="仿宋" w:hAnsi="仿宋" w:cs="宋体"/>
          <w:sz w:val="24"/>
        </w:rPr>
      </w:pPr>
      <w:r>
        <w:rPr>
          <w:rFonts w:hint="eastAsia" w:ascii="仿宋" w:hAnsi="仿宋" w:cs="宋体"/>
          <w:sz w:val="24"/>
        </w:rPr>
        <w:t>2.乙方支付甲方违约金，违约金计算方法：以合同总价为基数，支付甲方合同总价的30%为违约金。同时对乙方的违约行为报监管机构进行相应的处罚。</w:t>
      </w:r>
    </w:p>
    <w:p w14:paraId="6F9895BA">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（三）乙方不能按期交货，每延迟一天，应向甲方支付不能交货部分货款</w:t>
      </w:r>
      <w:r>
        <w:rPr>
          <w:rFonts w:ascii="仿宋" w:hAnsi="仿宋" w:cs="宋体"/>
          <w:sz w:val="24"/>
        </w:rPr>
        <w:t>1‰</w:t>
      </w:r>
      <w:r>
        <w:rPr>
          <w:rFonts w:hint="eastAsia" w:ascii="仿宋" w:hAnsi="仿宋" w:cs="宋体"/>
          <w:sz w:val="24"/>
        </w:rPr>
        <w:t>的违约金。甲方有权从应付货款中扣除违约金。逾期交货超过</w:t>
      </w:r>
      <w:r>
        <w:rPr>
          <w:rFonts w:ascii="仿宋" w:hAnsi="仿宋" w:cs="宋体"/>
          <w:sz w:val="24"/>
        </w:rPr>
        <w:t>20</w:t>
      </w:r>
      <w:r>
        <w:rPr>
          <w:rFonts w:hint="eastAsia" w:ascii="仿宋" w:hAnsi="仿宋" w:cs="宋体"/>
          <w:sz w:val="24"/>
        </w:rPr>
        <w:t>天，甲方有权单方解除合同，自甲方合同解除通知送达之日，合同解除生效，乙方应按合同价的</w:t>
      </w:r>
      <w:r>
        <w:rPr>
          <w:rFonts w:ascii="仿宋" w:hAnsi="仿宋" w:cs="宋体"/>
          <w:sz w:val="24"/>
        </w:rPr>
        <w:t>30%</w:t>
      </w:r>
      <w:r>
        <w:rPr>
          <w:rFonts w:hint="eastAsia" w:ascii="仿宋" w:hAnsi="仿宋" w:cs="宋体"/>
          <w:sz w:val="24"/>
        </w:rPr>
        <w:t>向甲方支付违约金。</w:t>
      </w:r>
    </w:p>
    <w:p w14:paraId="4BB4EF2A">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十一、合同争议解决的方式</w:t>
      </w:r>
    </w:p>
    <w:p w14:paraId="7747FBFD">
      <w:pPr>
        <w:tabs>
          <w:tab w:val="left" w:pos="480"/>
        </w:tabs>
        <w:spacing w:line="300" w:lineRule="auto"/>
        <w:ind w:firstLine="480" w:firstLineChars="200"/>
        <w:rPr>
          <w:rFonts w:hint="eastAsia" w:ascii="仿宋" w:hAnsi="仿宋" w:cs="宋体"/>
          <w:sz w:val="24"/>
        </w:rPr>
      </w:pPr>
      <w:r>
        <w:rPr>
          <w:rFonts w:hint="eastAsia" w:ascii="仿宋" w:hAnsi="仿宋" w:cs="宋体"/>
          <w:sz w:val="24"/>
        </w:rPr>
        <w:t>本合同在履行过程中发生的争议，由甲、乙双方当事人协商解决，协商不成的依法向甲方所在地人民法院起诉。</w:t>
      </w:r>
    </w:p>
    <w:p w14:paraId="1F9B2208">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十二、合同生效</w:t>
      </w:r>
    </w:p>
    <w:p w14:paraId="1D754FF8">
      <w:pPr>
        <w:tabs>
          <w:tab w:val="left" w:pos="480"/>
        </w:tabs>
        <w:spacing w:line="300" w:lineRule="auto"/>
        <w:ind w:firstLine="480" w:firstLineChars="200"/>
        <w:rPr>
          <w:rFonts w:hint="eastAsia" w:ascii="仿宋" w:hAnsi="仿宋" w:cs="宋体"/>
          <w:sz w:val="24"/>
        </w:rPr>
      </w:pPr>
      <w:r>
        <w:rPr>
          <w:rFonts w:hint="eastAsia" w:ascii="仿宋" w:hAnsi="仿宋" w:cs="宋体"/>
          <w:sz w:val="24"/>
        </w:rPr>
        <w:t>本合同一式柒份，甲方伍份，乙方壹份，鉴证方壹份，本合同经甲方、乙方和鉴证方签字盖章后生效，质保期结束后，自动终止（但合同的服务承诺除外）。</w:t>
      </w:r>
    </w:p>
    <w:p w14:paraId="3889A660">
      <w:pPr>
        <w:tabs>
          <w:tab w:val="left" w:pos="480"/>
        </w:tabs>
        <w:spacing w:line="300" w:lineRule="auto"/>
        <w:ind w:firstLine="482" w:firstLineChars="200"/>
        <w:rPr>
          <w:rFonts w:hint="eastAsia" w:ascii="仿宋" w:hAnsi="仿宋" w:cs="宋体"/>
          <w:b/>
          <w:bCs/>
          <w:sz w:val="24"/>
        </w:rPr>
      </w:pPr>
      <w:r>
        <w:rPr>
          <w:rFonts w:hint="eastAsia" w:ascii="仿宋" w:hAnsi="仿宋" w:cs="宋体"/>
          <w:b/>
          <w:bCs/>
          <w:sz w:val="24"/>
        </w:rPr>
        <w:t>十三、其他事项</w:t>
      </w:r>
    </w:p>
    <w:p w14:paraId="13C07D15">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（一）西安市财政局政府采购管理处在合同的履行期间以及履行期后，可以随时检查项目的执行情况，对采购内容、标准进行调查核实，并对发现的问题进行处理。</w:t>
      </w:r>
    </w:p>
    <w:p w14:paraId="5A8B37B0">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（二）招标文件、投标文件、澄清表（函）、中标通知书、合同附件均成为合同不可分割的部分。</w:t>
      </w:r>
    </w:p>
    <w:p w14:paraId="29E44975">
      <w:pPr>
        <w:tabs>
          <w:tab w:val="left" w:pos="480"/>
        </w:tabs>
        <w:spacing w:line="300" w:lineRule="auto"/>
        <w:ind w:firstLine="480" w:firstLineChars="200"/>
        <w:rPr>
          <w:rFonts w:hint="eastAsia" w:ascii="仿宋" w:hAnsi="仿宋" w:cs="宋体"/>
          <w:sz w:val="24"/>
        </w:rPr>
      </w:pPr>
      <w:r>
        <w:rPr>
          <w:rFonts w:hint="eastAsia" w:ascii="仿宋" w:hAnsi="仿宋" w:cs="宋体"/>
          <w:sz w:val="24"/>
        </w:rPr>
        <w:t>（三）合同未尽事宜，由甲、乙双方协商，经见证方确认后，签订补充协议，与原合同具有同等法律效力。</w:t>
      </w:r>
    </w:p>
    <w:p w14:paraId="35E2E446">
      <w:pPr>
        <w:tabs>
          <w:tab w:val="left" w:pos="480"/>
        </w:tabs>
        <w:spacing w:line="300" w:lineRule="auto"/>
        <w:ind w:firstLine="480" w:firstLineChars="200"/>
        <w:rPr>
          <w:rFonts w:hint="eastAsia" w:ascii="仿宋" w:hAnsi="仿宋" w:cs="宋体"/>
          <w:sz w:val="24"/>
        </w:rPr>
      </w:pPr>
      <w:r>
        <w:rPr>
          <w:rFonts w:hint="eastAsia" w:ascii="仿宋" w:hAnsi="仿宋" w:cs="宋体"/>
          <w:sz w:val="24"/>
        </w:rPr>
        <w:t>（四）合同一经签订，不得擅自变更、中止或终止合同。对确需变更、调整或中止、终止合同的，有法律规定的按照法律规定，除合同约定外，由甲乙双方再行协商，协商一致前，原合同或条款继续履行。</w:t>
      </w:r>
    </w:p>
    <w:p w14:paraId="5C5C11F1">
      <w:pPr>
        <w:tabs>
          <w:tab w:val="left" w:pos="480"/>
        </w:tabs>
        <w:spacing w:line="300" w:lineRule="auto"/>
        <w:ind w:firstLine="480" w:firstLineChars="200"/>
        <w:rPr>
          <w:rFonts w:hint="eastAsia" w:ascii="仿宋" w:hAnsi="仿宋" w:cs="宋体"/>
          <w:sz w:val="24"/>
        </w:rPr>
      </w:pPr>
      <w:r>
        <w:rPr>
          <w:rFonts w:hint="eastAsia" w:ascii="仿宋" w:hAnsi="仿宋" w:cs="宋体"/>
          <w:sz w:val="24"/>
        </w:rPr>
        <w:t>（五）本合同按照中华人民共和国的现行法律进行解释。</w:t>
      </w:r>
    </w:p>
    <w:p w14:paraId="53293373">
      <w:pPr>
        <w:tabs>
          <w:tab w:val="left" w:pos="480"/>
        </w:tabs>
        <w:spacing w:line="300" w:lineRule="auto"/>
        <w:ind w:firstLine="480" w:firstLineChars="200"/>
        <w:rPr>
          <w:rFonts w:hint="eastAsia" w:ascii="仿宋" w:hAnsi="仿宋" w:cs="宋体"/>
          <w:sz w:val="24"/>
        </w:rPr>
      </w:pPr>
      <w:r>
        <w:rPr>
          <w:rFonts w:hint="eastAsia" w:ascii="仿宋" w:hAnsi="仿宋" w:cs="宋体"/>
          <w:sz w:val="24"/>
        </w:rPr>
        <w:t>（六）本合同附件作为本合同的组成部分，与本合同具有同等法律效力。</w:t>
      </w:r>
    </w:p>
    <w:p w14:paraId="6EA7A801">
      <w:pPr>
        <w:tabs>
          <w:tab w:val="left" w:pos="480"/>
        </w:tabs>
        <w:spacing w:line="300" w:lineRule="auto"/>
        <w:ind w:firstLine="200"/>
        <w:rPr>
          <w:rFonts w:hint="eastAsia" w:ascii="仿宋" w:hAnsi="仿宋" w:cs="宋体"/>
          <w:sz w:val="24"/>
        </w:rPr>
      </w:pPr>
      <w:r>
        <w:rPr>
          <w:rFonts w:hint="eastAsia" w:ascii="仿宋" w:hAnsi="仿宋" w:cs="宋体"/>
          <w:sz w:val="24"/>
        </w:rPr>
        <w:t>（以下无正文）</w:t>
      </w:r>
    </w:p>
    <w:tbl>
      <w:tblPr>
        <w:tblStyle w:val="4"/>
        <w:tblW w:w="0" w:type="auto"/>
        <w:tblInd w:w="108" w:type="dxa"/>
        <w:tblLayout w:type="autofit"/>
        <w:tblCellMar>
          <w:top w:w="0" w:type="dxa"/>
          <w:left w:w="108" w:type="dxa"/>
          <w:bottom w:w="0" w:type="dxa"/>
          <w:right w:w="108" w:type="dxa"/>
        </w:tblCellMar>
      </w:tblPr>
      <w:tblGrid>
        <w:gridCol w:w="4208"/>
        <w:gridCol w:w="4206"/>
      </w:tblGrid>
      <w:tr w14:paraId="655E193F">
        <w:tblPrEx>
          <w:tblCellMar>
            <w:top w:w="0" w:type="dxa"/>
            <w:left w:w="108" w:type="dxa"/>
            <w:bottom w:w="0" w:type="dxa"/>
            <w:right w:w="108" w:type="dxa"/>
          </w:tblCellMar>
        </w:tblPrEx>
        <w:tc>
          <w:tcPr>
            <w:tcW w:w="4657" w:type="dxa"/>
            <w:vAlign w:val="center"/>
          </w:tcPr>
          <w:p w14:paraId="30E5176A">
            <w:pPr>
              <w:tabs>
                <w:tab w:val="left" w:pos="480"/>
              </w:tabs>
              <w:spacing w:line="360" w:lineRule="auto"/>
              <w:rPr>
                <w:rFonts w:hint="eastAsia" w:ascii="仿宋" w:hAnsi="仿宋" w:cs="宋体"/>
                <w:sz w:val="24"/>
              </w:rPr>
            </w:pPr>
            <w:r>
              <w:rPr>
                <w:rFonts w:hint="eastAsia" w:ascii="仿宋" w:hAnsi="仿宋" w:cs="宋体"/>
                <w:sz w:val="24"/>
              </w:rPr>
              <w:t>甲  方（法人公章）</w:t>
            </w:r>
          </w:p>
        </w:tc>
        <w:tc>
          <w:tcPr>
            <w:tcW w:w="4655" w:type="dxa"/>
            <w:vAlign w:val="center"/>
          </w:tcPr>
          <w:p w14:paraId="5FC00A75">
            <w:pPr>
              <w:tabs>
                <w:tab w:val="left" w:pos="480"/>
              </w:tabs>
              <w:spacing w:line="360" w:lineRule="auto"/>
              <w:rPr>
                <w:rFonts w:hint="eastAsia" w:ascii="仿宋" w:hAnsi="仿宋" w:cs="宋体"/>
                <w:sz w:val="24"/>
              </w:rPr>
            </w:pPr>
            <w:r>
              <w:rPr>
                <w:rFonts w:hint="eastAsia" w:ascii="仿宋" w:hAnsi="仿宋" w:cs="宋体"/>
                <w:sz w:val="24"/>
              </w:rPr>
              <w:t>乙  方（法人公章）</w:t>
            </w:r>
          </w:p>
        </w:tc>
      </w:tr>
      <w:tr w14:paraId="111B79E5">
        <w:tblPrEx>
          <w:tblCellMar>
            <w:top w:w="0" w:type="dxa"/>
            <w:left w:w="108" w:type="dxa"/>
            <w:bottom w:w="0" w:type="dxa"/>
            <w:right w:w="108" w:type="dxa"/>
          </w:tblCellMar>
        </w:tblPrEx>
        <w:tc>
          <w:tcPr>
            <w:tcW w:w="4657" w:type="dxa"/>
            <w:vAlign w:val="center"/>
          </w:tcPr>
          <w:p w14:paraId="65FB718F">
            <w:pPr>
              <w:tabs>
                <w:tab w:val="left" w:pos="480"/>
              </w:tabs>
              <w:spacing w:line="360" w:lineRule="auto"/>
              <w:rPr>
                <w:rFonts w:hint="eastAsia" w:ascii="仿宋" w:hAnsi="仿宋" w:cs="宋体"/>
                <w:sz w:val="24"/>
              </w:rPr>
            </w:pPr>
            <w:r>
              <w:rPr>
                <w:rFonts w:hint="eastAsia" w:ascii="仿宋" w:hAnsi="仿宋" w:cs="宋体"/>
                <w:sz w:val="24"/>
              </w:rPr>
              <w:t>单位名称：西安市疾病预防控制中心</w:t>
            </w:r>
          </w:p>
        </w:tc>
        <w:tc>
          <w:tcPr>
            <w:tcW w:w="4655" w:type="dxa"/>
            <w:vAlign w:val="center"/>
          </w:tcPr>
          <w:p w14:paraId="7A405576">
            <w:pPr>
              <w:tabs>
                <w:tab w:val="left" w:pos="480"/>
              </w:tabs>
              <w:spacing w:line="360" w:lineRule="auto"/>
              <w:rPr>
                <w:rFonts w:hint="eastAsia" w:ascii="仿宋" w:hAnsi="仿宋" w:cs="宋体"/>
                <w:sz w:val="24"/>
              </w:rPr>
            </w:pPr>
            <w:r>
              <w:rPr>
                <w:rFonts w:hint="eastAsia" w:ascii="仿宋" w:hAnsi="仿宋" w:cs="宋体"/>
                <w:sz w:val="24"/>
              </w:rPr>
              <w:t xml:space="preserve">单位名称: </w:t>
            </w:r>
          </w:p>
        </w:tc>
      </w:tr>
      <w:tr w14:paraId="6924C9D2">
        <w:tblPrEx>
          <w:tblCellMar>
            <w:top w:w="0" w:type="dxa"/>
            <w:left w:w="108" w:type="dxa"/>
            <w:bottom w:w="0" w:type="dxa"/>
            <w:right w:w="108" w:type="dxa"/>
          </w:tblCellMar>
        </w:tblPrEx>
        <w:tc>
          <w:tcPr>
            <w:tcW w:w="4657" w:type="dxa"/>
            <w:vAlign w:val="center"/>
          </w:tcPr>
          <w:p w14:paraId="661FFA90">
            <w:pPr>
              <w:tabs>
                <w:tab w:val="left" w:pos="480"/>
              </w:tabs>
              <w:spacing w:line="360" w:lineRule="auto"/>
              <w:rPr>
                <w:rFonts w:hint="eastAsia" w:ascii="仿宋" w:hAnsi="仿宋" w:cs="宋体"/>
                <w:sz w:val="24"/>
              </w:rPr>
            </w:pPr>
            <w:r>
              <w:rPr>
                <w:rFonts w:hint="eastAsia" w:ascii="仿宋" w:hAnsi="仿宋" w:cs="宋体"/>
                <w:sz w:val="24"/>
              </w:rPr>
              <w:t>地  址：西安市雁塔区西影路599号</w:t>
            </w:r>
          </w:p>
        </w:tc>
        <w:tc>
          <w:tcPr>
            <w:tcW w:w="4655" w:type="dxa"/>
            <w:vAlign w:val="center"/>
          </w:tcPr>
          <w:p w14:paraId="73DC653D">
            <w:pPr>
              <w:tabs>
                <w:tab w:val="left" w:pos="480"/>
              </w:tabs>
              <w:spacing w:line="360" w:lineRule="auto"/>
              <w:rPr>
                <w:rFonts w:hint="eastAsia" w:ascii="仿宋" w:hAnsi="仿宋" w:cs="宋体"/>
                <w:sz w:val="24"/>
              </w:rPr>
            </w:pPr>
            <w:r>
              <w:rPr>
                <w:rFonts w:hint="eastAsia" w:ascii="仿宋" w:hAnsi="仿宋" w:cs="宋体"/>
                <w:sz w:val="24"/>
              </w:rPr>
              <w:t xml:space="preserve">地址： </w:t>
            </w:r>
          </w:p>
        </w:tc>
      </w:tr>
      <w:tr w14:paraId="549B3915">
        <w:tblPrEx>
          <w:tblCellMar>
            <w:top w:w="0" w:type="dxa"/>
            <w:left w:w="108" w:type="dxa"/>
            <w:bottom w:w="0" w:type="dxa"/>
            <w:right w:w="108" w:type="dxa"/>
          </w:tblCellMar>
        </w:tblPrEx>
        <w:trPr>
          <w:trHeight w:val="579" w:hRule="atLeast"/>
        </w:trPr>
        <w:tc>
          <w:tcPr>
            <w:tcW w:w="4657" w:type="dxa"/>
            <w:vAlign w:val="center"/>
          </w:tcPr>
          <w:p w14:paraId="435F7673">
            <w:pPr>
              <w:tabs>
                <w:tab w:val="left" w:pos="480"/>
              </w:tabs>
              <w:spacing w:line="360" w:lineRule="auto"/>
              <w:rPr>
                <w:rFonts w:hint="eastAsia" w:ascii="仿宋" w:hAnsi="仿宋" w:cs="宋体"/>
                <w:sz w:val="24"/>
              </w:rPr>
            </w:pPr>
            <w:r>
              <w:rPr>
                <w:rFonts w:hint="eastAsia" w:ascii="仿宋" w:hAnsi="仿宋" w:cs="宋体"/>
                <w:sz w:val="24"/>
              </w:rPr>
              <w:t>法定代表人：（签字）</w:t>
            </w:r>
          </w:p>
        </w:tc>
        <w:tc>
          <w:tcPr>
            <w:tcW w:w="4655" w:type="dxa"/>
            <w:vAlign w:val="center"/>
          </w:tcPr>
          <w:p w14:paraId="404FE89A">
            <w:pPr>
              <w:tabs>
                <w:tab w:val="left" w:pos="480"/>
              </w:tabs>
              <w:spacing w:line="360" w:lineRule="auto"/>
              <w:rPr>
                <w:rFonts w:hint="eastAsia" w:ascii="仿宋" w:hAnsi="仿宋" w:cs="宋体"/>
                <w:sz w:val="24"/>
              </w:rPr>
            </w:pPr>
            <w:r>
              <w:rPr>
                <w:rFonts w:hint="eastAsia" w:ascii="仿宋" w:hAnsi="仿宋" w:cs="宋体"/>
                <w:sz w:val="24"/>
              </w:rPr>
              <w:t>法定代表人或代理人：（签字）</w:t>
            </w:r>
          </w:p>
        </w:tc>
      </w:tr>
      <w:tr w14:paraId="11031973">
        <w:tblPrEx>
          <w:tblCellMar>
            <w:top w:w="0" w:type="dxa"/>
            <w:left w:w="108" w:type="dxa"/>
            <w:bottom w:w="0" w:type="dxa"/>
            <w:right w:w="108" w:type="dxa"/>
          </w:tblCellMar>
        </w:tblPrEx>
        <w:tc>
          <w:tcPr>
            <w:tcW w:w="4657" w:type="dxa"/>
            <w:vAlign w:val="center"/>
          </w:tcPr>
          <w:p w14:paraId="61E9AC00">
            <w:pPr>
              <w:tabs>
                <w:tab w:val="left" w:pos="480"/>
              </w:tabs>
              <w:spacing w:line="360" w:lineRule="auto"/>
              <w:rPr>
                <w:rFonts w:hint="eastAsia" w:ascii="仿宋" w:hAnsi="仿宋" w:cs="宋体"/>
                <w:sz w:val="24"/>
              </w:rPr>
            </w:pPr>
          </w:p>
        </w:tc>
        <w:tc>
          <w:tcPr>
            <w:tcW w:w="4655" w:type="dxa"/>
            <w:vAlign w:val="center"/>
          </w:tcPr>
          <w:p w14:paraId="5C785FE1">
            <w:pPr>
              <w:spacing w:line="360" w:lineRule="auto"/>
              <w:rPr>
                <w:rFonts w:hint="eastAsia" w:ascii="仿宋" w:hAnsi="仿宋" w:cs="宋体"/>
                <w:sz w:val="24"/>
              </w:rPr>
            </w:pPr>
            <w:r>
              <w:rPr>
                <w:rFonts w:hint="eastAsia" w:ascii="仿宋" w:hAnsi="仿宋" w:cs="宋体"/>
                <w:sz w:val="24"/>
              </w:rPr>
              <w:t xml:space="preserve">开户银行: </w:t>
            </w:r>
          </w:p>
        </w:tc>
      </w:tr>
      <w:tr w14:paraId="4FAC9FAC">
        <w:tblPrEx>
          <w:tblCellMar>
            <w:top w:w="0" w:type="dxa"/>
            <w:left w:w="108" w:type="dxa"/>
            <w:bottom w:w="0" w:type="dxa"/>
            <w:right w:w="108" w:type="dxa"/>
          </w:tblCellMar>
        </w:tblPrEx>
        <w:trPr>
          <w:trHeight w:val="507" w:hRule="atLeast"/>
        </w:trPr>
        <w:tc>
          <w:tcPr>
            <w:tcW w:w="4657" w:type="dxa"/>
            <w:vAlign w:val="center"/>
          </w:tcPr>
          <w:p w14:paraId="3EF41B08">
            <w:pPr>
              <w:tabs>
                <w:tab w:val="left" w:pos="480"/>
              </w:tabs>
              <w:spacing w:line="360" w:lineRule="auto"/>
              <w:rPr>
                <w:rFonts w:hint="eastAsia" w:ascii="仿宋" w:hAnsi="仿宋" w:cs="宋体"/>
                <w:sz w:val="24"/>
              </w:rPr>
            </w:pPr>
          </w:p>
        </w:tc>
        <w:tc>
          <w:tcPr>
            <w:tcW w:w="4655" w:type="dxa"/>
            <w:vAlign w:val="center"/>
          </w:tcPr>
          <w:p w14:paraId="35BDDBF9">
            <w:pPr>
              <w:tabs>
                <w:tab w:val="left" w:pos="480"/>
              </w:tabs>
              <w:spacing w:line="360" w:lineRule="auto"/>
              <w:rPr>
                <w:rFonts w:hint="eastAsia" w:ascii="仿宋" w:hAnsi="仿宋" w:cs="宋体"/>
                <w:sz w:val="24"/>
              </w:rPr>
            </w:pPr>
            <w:r>
              <w:rPr>
                <w:rFonts w:hint="eastAsia" w:ascii="仿宋" w:hAnsi="仿宋" w:cs="宋体"/>
                <w:sz w:val="24"/>
              </w:rPr>
              <w:t xml:space="preserve">帐    号： </w:t>
            </w:r>
          </w:p>
        </w:tc>
      </w:tr>
      <w:tr w14:paraId="370114BD">
        <w:tblPrEx>
          <w:tblCellMar>
            <w:top w:w="0" w:type="dxa"/>
            <w:left w:w="108" w:type="dxa"/>
            <w:bottom w:w="0" w:type="dxa"/>
            <w:right w:w="108" w:type="dxa"/>
          </w:tblCellMar>
        </w:tblPrEx>
        <w:trPr>
          <w:trHeight w:val="663" w:hRule="atLeast"/>
        </w:trPr>
        <w:tc>
          <w:tcPr>
            <w:tcW w:w="4657" w:type="dxa"/>
            <w:vAlign w:val="center"/>
          </w:tcPr>
          <w:p w14:paraId="2C765683">
            <w:pPr>
              <w:tabs>
                <w:tab w:val="left" w:pos="480"/>
              </w:tabs>
              <w:spacing w:line="360" w:lineRule="auto"/>
              <w:rPr>
                <w:rFonts w:hint="eastAsia" w:ascii="仿宋" w:hAnsi="仿宋" w:cs="宋体"/>
                <w:sz w:val="24"/>
              </w:rPr>
            </w:pPr>
            <w:r>
              <w:rPr>
                <w:rFonts w:hint="eastAsia" w:ascii="仿宋" w:hAnsi="仿宋" w:cs="宋体"/>
                <w:sz w:val="24"/>
              </w:rPr>
              <w:t>签订日期：     年   月    日</w:t>
            </w:r>
          </w:p>
        </w:tc>
        <w:tc>
          <w:tcPr>
            <w:tcW w:w="4655" w:type="dxa"/>
            <w:vAlign w:val="center"/>
          </w:tcPr>
          <w:p w14:paraId="52E1AEF0">
            <w:pPr>
              <w:tabs>
                <w:tab w:val="left" w:pos="480"/>
              </w:tabs>
              <w:spacing w:line="360" w:lineRule="auto"/>
              <w:rPr>
                <w:rFonts w:hint="eastAsia" w:ascii="仿宋" w:hAnsi="仿宋" w:cs="宋体"/>
                <w:sz w:val="24"/>
              </w:rPr>
            </w:pPr>
            <w:r>
              <w:rPr>
                <w:rFonts w:hint="eastAsia" w:ascii="仿宋" w:hAnsi="仿宋" w:cs="宋体"/>
                <w:sz w:val="24"/>
              </w:rPr>
              <w:t>签订日期：   年   月   日</w:t>
            </w:r>
          </w:p>
        </w:tc>
      </w:tr>
    </w:tbl>
    <w:p w14:paraId="3F85718C">
      <w:pPr>
        <w:tabs>
          <w:tab w:val="left" w:pos="480"/>
        </w:tabs>
        <w:spacing w:line="360" w:lineRule="auto"/>
        <w:rPr>
          <w:rFonts w:hint="eastAsia" w:ascii="仿宋" w:hAnsi="仿宋" w:cs="宋体"/>
          <w:sz w:val="24"/>
        </w:rPr>
      </w:pPr>
      <w:r>
        <w:rPr>
          <w:rFonts w:hint="eastAsia" w:ascii="仿宋" w:hAnsi="仿宋" w:cs="宋体"/>
          <w:sz w:val="24"/>
        </w:rPr>
        <w:t>鉴 证 方：</w:t>
      </w:r>
    </w:p>
    <w:p w14:paraId="7D61EE5C">
      <w:pPr>
        <w:tabs>
          <w:tab w:val="left" w:pos="480"/>
        </w:tabs>
        <w:spacing w:line="360" w:lineRule="auto"/>
        <w:rPr>
          <w:rFonts w:hint="eastAsia" w:ascii="仿宋" w:hAnsi="仿宋" w:cs="宋体"/>
          <w:sz w:val="24"/>
        </w:rPr>
      </w:pPr>
      <w:r>
        <w:rPr>
          <w:rFonts w:hint="eastAsia" w:ascii="仿宋" w:hAnsi="仿宋" w:cs="宋体"/>
          <w:sz w:val="24"/>
        </w:rPr>
        <w:t xml:space="preserve">单位名称： </w:t>
      </w:r>
    </w:p>
    <w:p w14:paraId="31022BD8">
      <w:pPr>
        <w:tabs>
          <w:tab w:val="left" w:pos="480"/>
        </w:tabs>
        <w:spacing w:line="360" w:lineRule="auto"/>
        <w:rPr>
          <w:rFonts w:hint="eastAsia" w:ascii="仿宋" w:hAnsi="仿宋" w:cs="宋体"/>
          <w:sz w:val="24"/>
        </w:rPr>
      </w:pPr>
      <w:r>
        <w:rPr>
          <w:rFonts w:hint="eastAsia" w:ascii="仿宋" w:hAnsi="仿宋" w:cs="宋体"/>
          <w:sz w:val="24"/>
        </w:rPr>
        <w:t>代 理 人：             （签字）</w:t>
      </w:r>
    </w:p>
    <w:p w14:paraId="3B58D104">
      <w:pPr>
        <w:pStyle w:val="2"/>
        <w:spacing w:line="560" w:lineRule="exact"/>
        <w:rPr>
          <w:rFonts w:hint="eastAsia" w:ascii="仿宋" w:hAnsi="仿宋"/>
          <w:sz w:val="24"/>
          <w:szCs w:val="24"/>
        </w:rPr>
      </w:pPr>
      <w:r>
        <w:rPr>
          <w:rFonts w:hint="eastAsia" w:ascii="仿宋" w:hAnsi="仿宋" w:cs="宋体"/>
          <w:sz w:val="24"/>
          <w:szCs w:val="24"/>
        </w:rPr>
        <w:t>签订日期：     年   月   日</w:t>
      </w:r>
    </w:p>
    <w:p w14:paraId="59574E3C">
      <w:pPr>
        <w:pStyle w:val="6"/>
        <w:rPr>
          <w:rFonts w:hint="default"/>
          <w:sz w:val="24"/>
          <w:szCs w:val="24"/>
        </w:rPr>
      </w:pPr>
    </w:p>
    <w:p w14:paraId="42B0B967">
      <w:pPr>
        <w:pStyle w:val="6"/>
        <w:rPr>
          <w:rFonts w:ascii="仿宋_GB2312" w:hAnsi="仿宋_GB2312" w:eastAsia="仿宋_GB2312" w:cs="仿宋_GB2312"/>
        </w:rPr>
      </w:pPr>
    </w:p>
    <w:p w14:paraId="35A9CD22">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2A226">
    <w:pPr>
      <w:pStyle w:val="3"/>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288F4">
    <w:pPr>
      <w:widowControl/>
      <w:jc w:val="left"/>
      <w:rPr>
        <w:rFonts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E4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szCs w:val="21"/>
    </w:rPr>
  </w:style>
  <w:style w:type="paragraph" w:styleId="3">
    <w:name w:val="footer"/>
    <w:basedOn w:val="1"/>
    <w:qFormat/>
    <w:uiPriority w:val="99"/>
    <w:pPr>
      <w:tabs>
        <w:tab w:val="center" w:pos="4153"/>
        <w:tab w:val="right" w:pos="8306"/>
      </w:tabs>
      <w:snapToGrid w:val="0"/>
      <w:jc w:val="left"/>
    </w:pPr>
    <w:rPr>
      <w:rFonts w:eastAsia="宋体"/>
      <w:sz w:val="18"/>
      <w:szCs w:val="18"/>
    </w:r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2025-09-01T07:29:02Z</dcterms:created>
  <dc:creator>Administrator</dc:creator>
  <cp:lastModifiedBy>夏日微凉</cp:lastModifiedBy>
  <dcterms:modified xsi:type="dcterms:W3CDTF">2025-09-01T07:29:35Z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6DA54343862243C794FB46343A63C73C_12</vt:lpwstr>
  </property>
</Properties>
</file>