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版本号：DXSY2025-03620250829001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心血管病院遥测心电监护系统及心脏大血管外科监护仪PICCO模块维修服务项目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DXSY2025-036</w:t>
      </w:r>
      <w:r>
        <w:br/>
      </w:r>
      <w:r>
        <w:br/>
      </w:r>
      <w:r>
        <w:br/>
      </w:r>
    </w:p>
    <w:p>
      <w:pPr>
        <w:pStyle w:val="null3"/>
        <w:jc w:val="center"/>
        <w:outlineLvl w:val="5"/>
      </w:pPr>
      <w:r>
        <w:rPr>
          <w:rFonts w:ascii="仿宋_GB2312" w:hAnsi="仿宋_GB2312" w:cs="仿宋_GB2312" w:eastAsia="仿宋_GB2312"/>
          <w:sz w:val="15"/>
          <w:b/>
        </w:rPr>
        <w:t>西安市第九医院</w:t>
      </w:r>
    </w:p>
    <w:p>
      <w:pPr>
        <w:pStyle w:val="null3"/>
        <w:jc w:val="center"/>
        <w:outlineLvl w:val="5"/>
      </w:pPr>
      <w:r>
        <w:rPr>
          <w:rFonts w:ascii="仿宋_GB2312" w:hAnsi="仿宋_GB2312" w:cs="仿宋_GB2312" w:eastAsia="仿宋_GB2312"/>
          <w:sz w:val="15"/>
          <w:b/>
        </w:rPr>
        <w:t>陕西东欣世源招标咨询有限公司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陕西东欣世源招标咨询有限公司</w:t>
      </w:r>
      <w:r>
        <w:rPr>
          <w:rFonts w:ascii="仿宋_GB2312" w:hAnsi="仿宋_GB2312" w:cs="仿宋_GB2312" w:eastAsia="仿宋_GB2312"/>
        </w:rPr>
        <w:t>（以下简称“代理机构”）受</w:t>
      </w:r>
      <w:r>
        <w:rPr>
          <w:rFonts w:ascii="仿宋_GB2312" w:hAnsi="仿宋_GB2312" w:cs="仿宋_GB2312" w:eastAsia="仿宋_GB2312"/>
        </w:rPr>
        <w:t>西安市第九医院</w:t>
      </w:r>
      <w:r>
        <w:rPr>
          <w:rFonts w:ascii="仿宋_GB2312" w:hAnsi="仿宋_GB2312" w:cs="仿宋_GB2312" w:eastAsia="仿宋_GB2312"/>
        </w:rPr>
        <w:t>委托，拟对</w:t>
      </w:r>
      <w:r>
        <w:rPr>
          <w:rFonts w:ascii="仿宋_GB2312" w:hAnsi="仿宋_GB2312" w:cs="仿宋_GB2312" w:eastAsia="仿宋_GB2312"/>
        </w:rPr>
        <w:t>心血管病院遥测心电监护系统及心脏大血管外科监护仪PICCO模块维修服务项目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DXSY2025-036</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心血管病院遥测心电监护系统及心脏大血管外科监护仪PICCO模块维修服务项目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第九医院心血管病院现有3套遥测监护系统，每套遥测心电监护系统配备24台遥测心电监护盒。由于新大楼建筑结构改变、两套遥测心电监护设备老旧（型号为迈瑞TMS-6016)，导致信号传输严重障碍，经多次调试，效果不佳，目前仅9楼可正常使用，7、8楼均不能满足临床需求。根据科室诊疗需求，需升级2套主机系统，更新发射器（遥测心电监护盒）26个（其中10个带血氧饱和度监测）；心脏大血管外科现有迈瑞病人监护仪BeneVision N15一台。根据科室诊疗需求，需增加PICCO模块，用于血流动力学监测，辅助临床做出及时、准确的诊断和治疗方案。</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采购包1（心血管病院遥测心电监护系统及心脏大血管外科监护仪PICCO模块维修服务项目）：属于专门面向中小企业采购。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财务状况报告：提供具有财务审计资质单位出具的2024年度财务报告或开标前六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3、税收缴纳证明：税收缴纳证明：提供已缴纳的 2024年8月1日以来任意时间段的纳税证明或完税证明，纳税证明或完税证明上应有代收机构或税务机关的公章或业务专用章。依法免税的投标人应提供相关文件证明。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4、社保缴纳证明：社保缴纳证明：提供已缴存的 2024年8月1日以来任意时间段的社会保障资金缴存单据或社保机构开具的社会保险参保缴费情况证明。成立时间至提交投标文件截止时间不足一个月或依法不需要缴纳社会保障资金的投标人应提供相关文件证明。</w:t>
      </w:r>
    </w:p>
    <w:p>
      <w:pPr>
        <w:pStyle w:val="null3"/>
      </w:pPr>
      <w:r>
        <w:rPr>
          <w:rFonts w:ascii="仿宋_GB2312" w:hAnsi="仿宋_GB2312" w:cs="仿宋_GB2312" w:eastAsia="仿宋_GB2312"/>
        </w:rPr>
        <w:t>5、出具履行合同所必需的设备和专业技术能力的书面声明：出具履行合同所必需的设备和专业技术能力的书面声明</w:t>
      </w:r>
    </w:p>
    <w:p>
      <w:pPr>
        <w:pStyle w:val="null3"/>
      </w:pPr>
      <w:r>
        <w:rPr>
          <w:rFonts w:ascii="仿宋_GB2312" w:hAnsi="仿宋_GB2312" w:cs="仿宋_GB2312" w:eastAsia="仿宋_GB2312"/>
        </w:rPr>
        <w:t>6、出具参加政府采购活动前3年内，在经营活动中没有重大违法记录的书面声明。：出具参加政府采购活动前3年内，在经营活动中没有重大违法记录的书面声明。</w:t>
      </w:r>
    </w:p>
    <w:p>
      <w:pPr>
        <w:pStyle w:val="null3"/>
      </w:pPr>
      <w:r>
        <w:rPr>
          <w:rFonts w:ascii="仿宋_GB2312" w:hAnsi="仿宋_GB2312" w:cs="仿宋_GB2312" w:eastAsia="仿宋_GB2312"/>
        </w:rPr>
        <w:t>7、法定代表人授权委托书：法定代表人授权委托书 ：法定代表人直接参加的须出具法人身份证明并与营业执照信息一致，法定代表人授权代表参加的，须出具法定代表人授权书及被授权人身份证明。</w:t>
      </w:r>
    </w:p>
    <w:p>
      <w:pPr>
        <w:pStyle w:val="null3"/>
      </w:pPr>
      <w:r>
        <w:rPr>
          <w:rFonts w:ascii="仿宋_GB2312" w:hAnsi="仿宋_GB2312" w:cs="仿宋_GB2312" w:eastAsia="仿宋_GB2312"/>
        </w:rPr>
        <w:t>8、信用记录：信用记录 ：供应商未被列入“信用中国”网站记录的“失信被执行人”或“重大税收违法案件当事人”名单；不处于“中国政府采购网”记录的“政府采购严重违法失信行为记录名单”中的禁止参加政府采购活动期间。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9、供应商承诺书 ：供应商承诺书 ：（1）供应商与其他投标单位无交叉控股股东、无交叉兼任高级管理人员及涉嫌联合围标、串标行为，无采购单位和招标代理机构职工在该单位兼职的情况，不向采购单位和代理机构相关人员输送利益等行贿行为（提供承诺书）。</w:t>
      </w:r>
    </w:p>
    <w:p>
      <w:pPr>
        <w:pStyle w:val="null3"/>
      </w:pPr>
      <w:r>
        <w:rPr>
          <w:rFonts w:ascii="仿宋_GB2312" w:hAnsi="仿宋_GB2312" w:cs="仿宋_GB2312" w:eastAsia="仿宋_GB2312"/>
        </w:rPr>
        <w:t>10、本项目不接受西安市第九医院职工及其亲属投资开办的企业参与本医院的政府采购活动（提供承诺书）：本项目不接受西安市第九医院职工及其亲属投资开办的企业参与本医院的政府采购活动（提供承诺书）</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西安市第九医院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西安市南二环东段151号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伍老师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61165668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陕西东欣世源招标咨询有限公司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陕西省西安市高新路2号西部国际广场B座28楼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余工、张工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13609197871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采购包1：253,000.00元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采购包1：253,000.00元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代理服务费收费标准：1、参照国家计委计价格[2002]1980号文及发改办价格[2003]857号文通知规定，按标准下浮20%，取费基数为中标（成交）金额，由成交供应商在领取成交通知书前一次性支付代理服务费。 2、支付方式：电汇或银行转账。 采购人指定的收款账户如下： 收款单位：陕西东欣世源招标咨询有限公司 开户银行：中国建设银行股份有限公司西安高新科技支行； 银行账号：61050192570000000695 3、代理服务费按差额定率累进法计算，本项目按服务类计取代理服务费。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西安市第九医院</w:t>
      </w:r>
      <w:r>
        <w:rPr>
          <w:rFonts w:ascii="仿宋_GB2312" w:hAnsi="仿宋_GB2312" w:cs="仿宋_GB2312" w:eastAsia="仿宋_GB2312"/>
        </w:rPr>
        <w:t>和</w:t>
      </w:r>
      <w:r>
        <w:rPr>
          <w:rFonts w:ascii="仿宋_GB2312" w:hAnsi="仿宋_GB2312" w:cs="仿宋_GB2312" w:eastAsia="仿宋_GB2312"/>
        </w:rPr>
        <w:t>陕西东欣世源招标咨询有限公司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陕西东欣世源招标咨询有限公司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西安市第九医院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陕西东欣世源招标咨询有限公司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详见单一来源采购文件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陕西东欣世源招标咨询有限公司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陕西东欣世源招标咨询有限公司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陕西东欣世源招标咨询有限公司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第九医院心血管病院现有3套遥测监护系统，每套遥测心电监护系统配备24台遥测心电监护盒。由于新大楼建筑结构改变、两套遥测心电监护设备老旧（型号为迈瑞TMS-6016)，导致信号传输严重障碍，经多次调试，效果不佳，目前仅9楼可正常使用，7、8楼均不能满足临床需求。根据科室诊疗需求，需升级2套主机系统，更新发射器（遥测心电监护盒）26个（其中10个带血氧饱和度监测）；心脏大血管外科现有迈瑞病人监护仪BeneVision N15一台。根据科室诊疗需求，需增加PICCO模块，用于血流动力学监测，辅助临床做出及时、准确的诊断和治疗方案。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253,000.00</w:t>
      </w:r>
    </w:p>
    <w:p>
      <w:pPr>
        <w:pStyle w:val="null3"/>
      </w:pPr>
      <w:r>
        <w:rPr>
          <w:rFonts w:ascii="仿宋_GB2312" w:hAnsi="仿宋_GB2312" w:cs="仿宋_GB2312" w:eastAsia="仿宋_GB2312"/>
        </w:rPr>
        <w:t>采购包最高限价（元）: 253,000.00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心血管病院遥测心电监护系统及心脏大血管外科监护仪PICCO模块维修服务项目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标的名称：心血管病院遥测心电监护系统及心脏大血管外科监护仪PICCO模块维修服务项目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ind w:right="375"/>
              <w:jc w:val="both"/>
            </w:pPr>
            <w:r>
              <w:rPr>
                <w:rFonts w:ascii="仿宋_GB2312" w:hAnsi="仿宋_GB2312" w:cs="仿宋_GB2312" w:eastAsia="仿宋_GB2312"/>
                <w:sz w:val="21"/>
                <w:b/>
              </w:rPr>
              <w:t>心血管病院遥测心电监护系统维修</w:t>
            </w:r>
            <w:r>
              <w:rPr>
                <w:rFonts w:ascii="仿宋_GB2312" w:hAnsi="仿宋_GB2312" w:cs="仿宋_GB2312" w:eastAsia="仿宋_GB2312"/>
                <w:sz w:val="21"/>
                <w:b/>
              </w:rPr>
              <w:t>项目</w:t>
            </w:r>
          </w:p>
          <w:p>
            <w:pPr>
              <w:pStyle w:val="null3"/>
              <w:ind w:right="375"/>
              <w:jc w:val="both"/>
            </w:pPr>
            <w:r>
              <w:rPr>
                <w:rFonts w:ascii="仿宋_GB2312" w:hAnsi="仿宋_GB2312" w:cs="仿宋_GB2312" w:eastAsia="仿宋_GB2312"/>
                <w:sz w:val="21"/>
                <w:b/>
              </w:rPr>
              <w:t>（</w:t>
            </w:r>
            <w:r>
              <w:rPr>
                <w:rFonts w:ascii="仿宋_GB2312" w:hAnsi="仿宋_GB2312" w:cs="仿宋_GB2312" w:eastAsia="仿宋_GB2312"/>
                <w:sz w:val="21"/>
                <w:b/>
              </w:rPr>
              <w:t>1）</w:t>
            </w:r>
            <w:r>
              <w:rPr>
                <w:rFonts w:ascii="仿宋_GB2312" w:hAnsi="仿宋_GB2312" w:cs="仿宋_GB2312" w:eastAsia="仿宋_GB2312"/>
                <w:sz w:val="21"/>
                <w:b/>
              </w:rPr>
              <w:t>技术参数要求</w:t>
            </w:r>
          </w:p>
          <w:tbl>
            <w:tblPr>
              <w:tblBorders>
                <w:top w:val="none" w:color="000000" w:sz="4"/>
                <w:left w:val="none" w:color="000000" w:sz="4"/>
                <w:bottom w:val="none" w:color="000000" w:sz="4"/>
                <w:right w:val="none" w:color="000000" w:sz="4"/>
                <w:insideH w:val="none"/>
                <w:insideV w:val="none"/>
              </w:tblBorders>
            </w:tblPr>
            <w:tblGrid>
              <w:gridCol w:w="251"/>
              <w:gridCol w:w="629"/>
              <w:gridCol w:w="2305"/>
            </w:tblGrid>
            <w:tr>
              <w:tc>
                <w:tcPr>
                  <w:tcW w:type="dxa" w:w="251"/>
                  <w:tcBorders>
                    <w:top w:val="singl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1"/>
                    </w:rPr>
                    <w:t>序号</w:t>
                  </w:r>
                </w:p>
              </w:tc>
              <w:tc>
                <w:tcPr>
                  <w:tcW w:type="dxa" w:w="629"/>
                  <w:tcBorders>
                    <w:top w:val="singl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1"/>
                    </w:rPr>
                    <w:t>项目类别</w:t>
                  </w:r>
                </w:p>
              </w:tc>
              <w:tc>
                <w:tcPr>
                  <w:tcW w:type="dxa" w:w="2305"/>
                  <w:tcBorders>
                    <w:top w:val="singl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1"/>
                    </w:rPr>
                    <w:t>招标要求</w:t>
                  </w:r>
                </w:p>
              </w:tc>
            </w:tr>
            <w:tr>
              <w:tc>
                <w:tcPr>
                  <w:tcW w:type="dxa" w:w="251"/>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1"/>
                    </w:rPr>
                    <w:t>1</w:t>
                  </w:r>
                </w:p>
              </w:tc>
              <w:tc>
                <w:tcPr>
                  <w:tcW w:type="dxa" w:w="629"/>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1"/>
                    </w:rPr>
                    <w:t>维修响应</w:t>
                  </w:r>
                </w:p>
              </w:tc>
              <w:tc>
                <w:tcPr>
                  <w:tcW w:type="dxa" w:w="2305"/>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left"/>
                  </w:pPr>
                  <w:r>
                    <w:rPr>
                      <w:rFonts w:ascii="仿宋_GB2312" w:hAnsi="仿宋_GB2312" w:cs="仿宋_GB2312" w:eastAsia="仿宋_GB2312"/>
                      <w:sz w:val="21"/>
                    </w:rPr>
                    <w:t>要求工程师</w:t>
                  </w:r>
                  <w:r>
                    <w:rPr>
                      <w:rFonts w:ascii="仿宋_GB2312" w:hAnsi="仿宋_GB2312" w:cs="仿宋_GB2312" w:eastAsia="仿宋_GB2312"/>
                      <w:sz w:val="21"/>
                    </w:rPr>
                    <w:t>2小时</w:t>
                  </w:r>
                  <w:r>
                    <w:rPr>
                      <w:rFonts w:ascii="仿宋_GB2312" w:hAnsi="仿宋_GB2312" w:cs="仿宋_GB2312" w:eastAsia="仿宋_GB2312"/>
                      <w:sz w:val="21"/>
                    </w:rPr>
                    <w:t>响应，</w:t>
                  </w:r>
                  <w:r>
                    <w:rPr>
                      <w:rFonts w:ascii="仿宋_GB2312" w:hAnsi="仿宋_GB2312" w:cs="仿宋_GB2312" w:eastAsia="仿宋_GB2312"/>
                      <w:sz w:val="21"/>
                    </w:rPr>
                    <w:t>8</w:t>
                  </w:r>
                  <w:r>
                    <w:rPr>
                      <w:rFonts w:ascii="仿宋_GB2312" w:hAnsi="仿宋_GB2312" w:cs="仿宋_GB2312" w:eastAsia="仿宋_GB2312"/>
                      <w:sz w:val="21"/>
                    </w:rPr>
                    <w:t>小时到达现场</w:t>
                  </w:r>
                  <w:r>
                    <w:rPr>
                      <w:rFonts w:ascii="仿宋_GB2312" w:hAnsi="仿宋_GB2312" w:cs="仿宋_GB2312" w:eastAsia="仿宋_GB2312"/>
                      <w:sz w:val="21"/>
                    </w:rPr>
                    <w:t>，</w:t>
                  </w:r>
                  <w:r>
                    <w:rPr>
                      <w:rFonts w:ascii="仿宋_GB2312" w:hAnsi="仿宋_GB2312" w:cs="仿宋_GB2312" w:eastAsia="仿宋_GB2312"/>
                      <w:sz w:val="21"/>
                    </w:rPr>
                    <w:t>24小时内给出解决方案，</w:t>
                  </w:r>
                  <w:r>
                    <w:rPr>
                      <w:rFonts w:ascii="仿宋_GB2312" w:hAnsi="仿宋_GB2312" w:cs="仿宋_GB2312" w:eastAsia="仿宋_GB2312"/>
                      <w:sz w:val="21"/>
                    </w:rPr>
                    <w:t>48</w:t>
                  </w:r>
                  <w:r>
                    <w:rPr>
                      <w:rFonts w:ascii="仿宋_GB2312" w:hAnsi="仿宋_GB2312" w:cs="仿宋_GB2312" w:eastAsia="仿宋_GB2312"/>
                      <w:sz w:val="21"/>
                    </w:rPr>
                    <w:t>小时内完成修复。保修期间</w:t>
                  </w:r>
                  <w:r>
                    <w:rPr>
                      <w:rFonts w:ascii="仿宋_GB2312" w:hAnsi="仿宋_GB2312" w:cs="仿宋_GB2312" w:eastAsia="仿宋_GB2312"/>
                      <w:sz w:val="21"/>
                    </w:rPr>
                    <w:t>按照招标附件、备件合同价格维修。</w:t>
                  </w:r>
                  <w:r>
                    <w:rPr>
                      <w:rFonts w:ascii="仿宋_GB2312" w:hAnsi="仿宋_GB2312" w:cs="仿宋_GB2312" w:eastAsia="仿宋_GB2312"/>
                      <w:sz w:val="21"/>
                    </w:rPr>
                    <w:t>要求</w:t>
                  </w:r>
                  <w:r>
                    <w:rPr>
                      <w:rFonts w:ascii="仿宋_GB2312" w:hAnsi="仿宋_GB2312" w:cs="仿宋_GB2312" w:eastAsia="仿宋_GB2312"/>
                      <w:sz w:val="21"/>
                    </w:rPr>
                    <w:t>遥测监护仪生产厂家</w:t>
                  </w:r>
                  <w:r>
                    <w:rPr>
                      <w:rFonts w:ascii="仿宋_GB2312" w:hAnsi="仿宋_GB2312" w:cs="仿宋_GB2312" w:eastAsia="仿宋_GB2312"/>
                      <w:sz w:val="21"/>
                    </w:rPr>
                    <w:t>认证的有资质的工程师进行维修及后续维保服务，并提供相关授权文件；</w:t>
                  </w:r>
                  <w:r>
                    <w:rPr>
                      <w:rFonts w:ascii="仿宋_GB2312" w:hAnsi="仿宋_GB2312" w:cs="仿宋_GB2312" w:eastAsia="仿宋_GB2312"/>
                      <w:sz w:val="21"/>
                    </w:rPr>
                    <w:t>在保修期内，机器出现故障，遥测监护仪生产厂家提供免费维修和配件更换。</w:t>
                  </w:r>
                </w:p>
              </w:tc>
            </w:tr>
            <w:tr>
              <w:tc>
                <w:tcPr>
                  <w:tcW w:type="dxa" w:w="251"/>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1"/>
                    </w:rPr>
                    <w:t>2</w:t>
                  </w:r>
                </w:p>
              </w:tc>
              <w:tc>
                <w:tcPr>
                  <w:tcW w:type="dxa" w:w="629"/>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1"/>
                    </w:rPr>
                    <w:t>技术支持</w:t>
                  </w:r>
                </w:p>
              </w:tc>
              <w:tc>
                <w:tcPr>
                  <w:tcW w:type="dxa" w:w="2305"/>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pPr>
                  <w:r>
                    <w:rPr>
                      <w:rFonts w:ascii="仿宋_GB2312" w:hAnsi="仿宋_GB2312" w:cs="仿宋_GB2312" w:eastAsia="仿宋_GB2312"/>
                      <w:sz w:val="21"/>
                    </w:rPr>
                    <w:t>具有维修诊断的客服中心，全年</w:t>
                  </w:r>
                  <w:r>
                    <w:rPr>
                      <w:rFonts w:ascii="仿宋_GB2312" w:hAnsi="仿宋_GB2312" w:cs="仿宋_GB2312" w:eastAsia="仿宋_GB2312"/>
                      <w:sz w:val="21"/>
                    </w:rPr>
                    <w:t>365</w:t>
                  </w:r>
                  <w:r>
                    <w:rPr>
                      <w:rFonts w:ascii="仿宋_GB2312" w:hAnsi="仿宋_GB2312" w:cs="仿宋_GB2312" w:eastAsia="仿宋_GB2312"/>
                      <w:sz w:val="21"/>
                    </w:rPr>
                    <w:t>天</w:t>
                  </w:r>
                  <w:r>
                    <w:rPr>
                      <w:rFonts w:ascii="仿宋_GB2312" w:hAnsi="仿宋_GB2312" w:cs="仿宋_GB2312" w:eastAsia="仿宋_GB2312"/>
                      <w:sz w:val="21"/>
                    </w:rPr>
                    <w:t>*24</w:t>
                  </w:r>
                  <w:r>
                    <w:rPr>
                      <w:rFonts w:ascii="仿宋_GB2312" w:hAnsi="仿宋_GB2312" w:cs="仿宋_GB2312" w:eastAsia="仿宋_GB2312"/>
                      <w:sz w:val="21"/>
                    </w:rPr>
                    <w:t>小时技术电话支持</w:t>
                  </w:r>
                  <w:r>
                    <w:rPr>
                      <w:rFonts w:ascii="仿宋_GB2312" w:hAnsi="仿宋_GB2312" w:cs="仿宋_GB2312" w:eastAsia="仿宋_GB2312"/>
                      <w:sz w:val="21"/>
                    </w:rPr>
                    <w:t>，</w:t>
                  </w:r>
                  <w:r>
                    <w:rPr>
                      <w:rFonts w:ascii="仿宋_GB2312" w:hAnsi="仿宋_GB2312" w:cs="仿宋_GB2312" w:eastAsia="仿宋_GB2312"/>
                      <w:sz w:val="21"/>
                    </w:rPr>
                    <w:t>供应商应有长驻西安的专职维修工程师</w:t>
                  </w:r>
                  <w:r>
                    <w:rPr>
                      <w:rFonts w:ascii="仿宋_GB2312" w:hAnsi="仿宋_GB2312" w:cs="仿宋_GB2312" w:eastAsia="仿宋_GB2312"/>
                      <w:sz w:val="21"/>
                    </w:rPr>
                    <w:t>≥3人，以便有足够的工程师派遣，并附带遥测监护仪生产厂家认证的工程师名单</w:t>
                  </w:r>
                  <w:r>
                    <w:rPr>
                      <w:rFonts w:ascii="仿宋_GB2312" w:hAnsi="仿宋_GB2312" w:cs="仿宋_GB2312" w:eastAsia="仿宋_GB2312"/>
                      <w:sz w:val="21"/>
                    </w:rPr>
                    <w:t>（</w:t>
                  </w:r>
                  <w:r>
                    <w:rPr>
                      <w:rFonts w:ascii="仿宋_GB2312" w:hAnsi="仿宋_GB2312" w:cs="仿宋_GB2312" w:eastAsia="仿宋_GB2312"/>
                      <w:sz w:val="21"/>
                    </w:rPr>
                    <w:t>提供证明</w:t>
                  </w:r>
                  <w:r>
                    <w:rPr>
                      <w:rFonts w:ascii="仿宋_GB2312" w:hAnsi="仿宋_GB2312" w:cs="仿宋_GB2312" w:eastAsia="仿宋_GB2312"/>
                      <w:sz w:val="21"/>
                    </w:rPr>
                    <w:t>材料）</w:t>
                  </w:r>
                  <w:r>
                    <w:rPr>
                      <w:rFonts w:ascii="仿宋_GB2312" w:hAnsi="仿宋_GB2312" w:cs="仿宋_GB2312" w:eastAsia="仿宋_GB2312"/>
                      <w:sz w:val="21"/>
                    </w:rPr>
                    <w:t>。</w:t>
                  </w:r>
                </w:p>
              </w:tc>
            </w:tr>
            <w:tr>
              <w:tc>
                <w:tcPr>
                  <w:tcW w:type="dxa" w:w="251"/>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1"/>
                    </w:rPr>
                    <w:t>3</w:t>
                  </w:r>
                </w:p>
              </w:tc>
              <w:tc>
                <w:tcPr>
                  <w:tcW w:type="dxa" w:w="629"/>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1"/>
                    </w:rPr>
                    <w:t>备件</w:t>
                  </w:r>
                </w:p>
              </w:tc>
              <w:tc>
                <w:tcPr>
                  <w:tcW w:type="dxa" w:w="2305"/>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pPr>
                  <w:r>
                    <w:rPr>
                      <w:rFonts w:ascii="仿宋_GB2312" w:hAnsi="仿宋_GB2312" w:cs="仿宋_GB2312" w:eastAsia="仿宋_GB2312"/>
                      <w:sz w:val="21"/>
                    </w:rPr>
                    <w:t>保修</w:t>
                  </w:r>
                  <w:r>
                    <w:rPr>
                      <w:rFonts w:ascii="仿宋_GB2312" w:hAnsi="仿宋_GB2312" w:cs="仿宋_GB2312" w:eastAsia="仿宋_GB2312"/>
                      <w:sz w:val="21"/>
                    </w:rPr>
                    <w:t>遥测监护仪</w:t>
                  </w:r>
                  <w:r>
                    <w:rPr>
                      <w:rFonts w:ascii="仿宋_GB2312" w:hAnsi="仿宋_GB2312" w:cs="仿宋_GB2312" w:eastAsia="仿宋_GB2312"/>
                      <w:sz w:val="21"/>
                    </w:rPr>
                    <w:t>主机</w:t>
                  </w:r>
                  <w:r>
                    <w:rPr>
                      <w:rFonts w:ascii="仿宋_GB2312" w:hAnsi="仿宋_GB2312" w:cs="仿宋_GB2312" w:eastAsia="仿宋_GB2312"/>
                      <w:sz w:val="21"/>
                    </w:rPr>
                    <w:t>，</w:t>
                  </w:r>
                  <w:r>
                    <w:rPr>
                      <w:rFonts w:ascii="仿宋_GB2312" w:hAnsi="仿宋_GB2312" w:cs="仿宋_GB2312" w:eastAsia="仿宋_GB2312"/>
                      <w:sz w:val="21"/>
                    </w:rPr>
                    <w:t>并</w:t>
                  </w:r>
                  <w:r>
                    <w:rPr>
                      <w:rFonts w:ascii="仿宋_GB2312" w:hAnsi="仿宋_GB2312" w:cs="仿宋_GB2312" w:eastAsia="仿宋_GB2312"/>
                      <w:sz w:val="21"/>
                    </w:rPr>
                    <w:t>包含所有备件及附件，更换备件及附件均为</w:t>
                  </w:r>
                  <w:r>
                    <w:rPr>
                      <w:rFonts w:ascii="仿宋_GB2312" w:hAnsi="仿宋_GB2312" w:cs="仿宋_GB2312" w:eastAsia="仿宋_GB2312"/>
                      <w:sz w:val="21"/>
                    </w:rPr>
                    <w:t>机器</w:t>
                  </w:r>
                  <w:r>
                    <w:rPr>
                      <w:rFonts w:ascii="仿宋_GB2312" w:hAnsi="仿宋_GB2312" w:cs="仿宋_GB2312" w:eastAsia="仿宋_GB2312"/>
                      <w:sz w:val="21"/>
                    </w:rPr>
                    <w:t>测试合格的备件</w:t>
                  </w:r>
                  <w:r>
                    <w:rPr>
                      <w:rFonts w:ascii="仿宋_GB2312" w:hAnsi="仿宋_GB2312" w:cs="仿宋_GB2312" w:eastAsia="仿宋_GB2312"/>
                      <w:sz w:val="21"/>
                    </w:rPr>
                    <w:t>，</w:t>
                  </w:r>
                  <w:r>
                    <w:rPr>
                      <w:rFonts w:ascii="仿宋_GB2312" w:hAnsi="仿宋_GB2312" w:cs="仿宋_GB2312" w:eastAsia="仿宋_GB2312"/>
                      <w:sz w:val="21"/>
                    </w:rPr>
                    <w:t>主机质保一年，</w:t>
                  </w:r>
                  <w:r>
                    <w:rPr>
                      <w:rFonts w:ascii="仿宋_GB2312" w:hAnsi="仿宋_GB2312" w:cs="仿宋_GB2312" w:eastAsia="仿宋_GB2312"/>
                      <w:sz w:val="21"/>
                    </w:rPr>
                    <w:t>备件及附件</w:t>
                  </w:r>
                  <w:r>
                    <w:rPr>
                      <w:rFonts w:ascii="仿宋_GB2312" w:hAnsi="仿宋_GB2312" w:cs="仿宋_GB2312" w:eastAsia="仿宋_GB2312"/>
                      <w:sz w:val="21"/>
                    </w:rPr>
                    <w:t>质保一年；</w:t>
                  </w:r>
                  <w:r>
                    <w:rPr>
                      <w:rFonts w:ascii="仿宋_GB2312" w:hAnsi="仿宋_GB2312" w:cs="仿宋_GB2312" w:eastAsia="仿宋_GB2312"/>
                      <w:sz w:val="21"/>
                    </w:rPr>
                    <w:t>要求维修配件为</w:t>
                  </w:r>
                  <w:r>
                    <w:rPr>
                      <w:rFonts w:ascii="仿宋_GB2312" w:hAnsi="仿宋_GB2312" w:cs="仿宋_GB2312" w:eastAsia="仿宋_GB2312"/>
                      <w:sz w:val="21"/>
                    </w:rPr>
                    <w:t>遥测监护仪生产厂家</w:t>
                  </w:r>
                  <w:r>
                    <w:rPr>
                      <w:rFonts w:ascii="仿宋_GB2312" w:hAnsi="仿宋_GB2312" w:cs="仿宋_GB2312" w:eastAsia="仿宋_GB2312"/>
                      <w:sz w:val="21"/>
                    </w:rPr>
                    <w:t>公司原厂配件，并提供相关检验报告；</w:t>
                  </w:r>
                </w:p>
              </w:tc>
            </w:tr>
            <w:tr>
              <w:tc>
                <w:tcPr>
                  <w:tcW w:type="dxa" w:w="251"/>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1"/>
                    </w:rPr>
                    <w:t>4</w:t>
                  </w:r>
                </w:p>
              </w:tc>
              <w:tc>
                <w:tcPr>
                  <w:tcW w:type="dxa" w:w="629"/>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1"/>
                    </w:rPr>
                    <w:t>维护</w:t>
                  </w:r>
                </w:p>
              </w:tc>
              <w:tc>
                <w:tcPr>
                  <w:tcW w:type="dxa" w:w="2305"/>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pPr>
                  <w:r>
                    <w:rPr>
                      <w:rFonts w:ascii="仿宋_GB2312" w:hAnsi="仿宋_GB2312" w:cs="仿宋_GB2312" w:eastAsia="仿宋_GB2312"/>
                      <w:sz w:val="21"/>
                    </w:rPr>
                    <w:t>需负责甲方所辖所有相应设备的日常点检、维护保养、调试、操作、突发故障维修、设备调校等工作。</w:t>
                  </w:r>
                </w:p>
              </w:tc>
            </w:tr>
            <w:tr>
              <w:tc>
                <w:tcPr>
                  <w:tcW w:type="dxa" w:w="251"/>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1"/>
                    </w:rPr>
                    <w:t>5</w:t>
                  </w:r>
                </w:p>
              </w:tc>
              <w:tc>
                <w:tcPr>
                  <w:tcW w:type="dxa" w:w="629"/>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1"/>
                    </w:rPr>
                    <w:t>保养</w:t>
                  </w:r>
                </w:p>
              </w:tc>
              <w:tc>
                <w:tcPr>
                  <w:tcW w:type="dxa" w:w="2305"/>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pPr>
                  <w:r>
                    <w:rPr>
                      <w:rFonts w:ascii="仿宋_GB2312" w:hAnsi="仿宋_GB2312" w:cs="仿宋_GB2312" w:eastAsia="仿宋_GB2312"/>
                      <w:sz w:val="21"/>
                    </w:rPr>
                    <w:t>除故障维修外，每年全院</w:t>
                  </w:r>
                  <w:r>
                    <w:rPr>
                      <w:rFonts w:ascii="仿宋_GB2312" w:hAnsi="仿宋_GB2312" w:cs="仿宋_GB2312" w:eastAsia="仿宋_GB2312"/>
                      <w:sz w:val="21"/>
                    </w:rPr>
                    <w:t>遥测监护仪</w:t>
                  </w:r>
                  <w:r>
                    <w:rPr>
                      <w:rFonts w:ascii="仿宋_GB2312" w:hAnsi="仿宋_GB2312" w:cs="仿宋_GB2312" w:eastAsia="仿宋_GB2312"/>
                      <w:sz w:val="21"/>
                    </w:rPr>
                    <w:t>巡检</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次，并出具</w:t>
                  </w:r>
                  <w:r>
                    <w:rPr>
                      <w:rFonts w:ascii="仿宋_GB2312" w:hAnsi="仿宋_GB2312" w:cs="仿宋_GB2312" w:eastAsia="仿宋_GB2312"/>
                      <w:sz w:val="21"/>
                    </w:rPr>
                    <w:t>详细</w:t>
                  </w:r>
                  <w:r>
                    <w:rPr>
                      <w:rFonts w:ascii="仿宋_GB2312" w:hAnsi="仿宋_GB2312" w:cs="仿宋_GB2312" w:eastAsia="仿宋_GB2312"/>
                      <w:sz w:val="21"/>
                    </w:rPr>
                    <w:t>巡检报告</w:t>
                  </w:r>
                  <w:r>
                    <w:rPr>
                      <w:rFonts w:ascii="仿宋_GB2312" w:hAnsi="仿宋_GB2312" w:cs="仿宋_GB2312" w:eastAsia="仿宋_GB2312"/>
                      <w:sz w:val="21"/>
                    </w:rPr>
                    <w:t>。</w:t>
                  </w:r>
                </w:p>
              </w:tc>
            </w:tr>
            <w:tr>
              <w:tc>
                <w:tcPr>
                  <w:tcW w:type="dxa" w:w="251"/>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1"/>
                    </w:rPr>
                    <w:t>6</w:t>
                  </w:r>
                </w:p>
              </w:tc>
              <w:tc>
                <w:tcPr>
                  <w:tcW w:type="dxa" w:w="629"/>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1"/>
                    </w:rPr>
                    <w:t>开机保证率</w:t>
                  </w:r>
                </w:p>
              </w:tc>
              <w:tc>
                <w:tcPr>
                  <w:tcW w:type="dxa" w:w="2305"/>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pPr>
                  <w:r>
                    <w:rPr>
                      <w:rFonts w:ascii="仿宋_GB2312" w:hAnsi="仿宋_GB2312" w:cs="仿宋_GB2312" w:eastAsia="仿宋_GB2312"/>
                      <w:sz w:val="21"/>
                    </w:rPr>
                    <w:t>如设备返厂维修需提供相应产品备用机以便科室正常开展工作。</w:t>
                  </w:r>
                </w:p>
              </w:tc>
            </w:tr>
          </w:tbl>
          <w:p>
            <w:pPr>
              <w:pStyle w:val="null3"/>
            </w:pPr>
            <w:r>
              <w:rPr>
                <w:rFonts w:ascii="仿宋_GB2312" w:hAnsi="仿宋_GB2312" w:cs="仿宋_GB2312" w:eastAsia="仿宋_GB2312"/>
                <w:sz w:val="21"/>
              </w:rPr>
              <w:t>（</w:t>
            </w:r>
            <w:r>
              <w:rPr>
                <w:rFonts w:ascii="仿宋_GB2312" w:hAnsi="仿宋_GB2312" w:cs="仿宋_GB2312" w:eastAsia="仿宋_GB2312"/>
                <w:sz w:val="21"/>
              </w:rPr>
              <w:t>2）质量要求：必须符合行业标准及采购人技术参数要求。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3）零配件及耗材要求：（包括专用工具）必须使用原厂或高质量认证配件，严禁使用劣质替代品；维修后必须进行完整的功能与安全验证。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4）安装环境与场地要求：无</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5）验收标准；</w:t>
            </w:r>
          </w:p>
          <w:p>
            <w:pPr>
              <w:pStyle w:val="null3"/>
              <w:ind w:firstLine="630"/>
              <w:jc w:val="both"/>
            </w:pPr>
            <w:r>
              <w:rPr>
                <w:rFonts w:ascii="仿宋_GB2312" w:hAnsi="仿宋_GB2312" w:cs="仿宋_GB2312" w:eastAsia="仿宋_GB2312"/>
                <w:sz w:val="21"/>
              </w:rPr>
              <w:t>1）首次验收：更换维修完成后，先由成交供应商进行自检并出具自检报告，自检合格后告知采购人；采购人确认成交供应商的自检内容后，组织成交供应商进行首次验收。</w:t>
            </w:r>
          </w:p>
          <w:p>
            <w:pPr>
              <w:pStyle w:val="null3"/>
              <w:ind w:firstLine="630"/>
              <w:jc w:val="both"/>
            </w:pPr>
            <w:r>
              <w:rPr>
                <w:rFonts w:ascii="仿宋_GB2312" w:hAnsi="仿宋_GB2312" w:cs="仿宋_GB2312" w:eastAsia="仿宋_GB2312"/>
                <w:sz w:val="21"/>
              </w:rPr>
              <w:t>2）最终验收：质保满后，先由成交供应商进行自检并出具自检报告，自检合格后向采购人提验收申请；采购人确认成交供应商的自检内容后，组织成交供应商进行最终验收。</w:t>
            </w:r>
          </w:p>
          <w:p>
            <w:pPr>
              <w:pStyle w:val="null3"/>
              <w:ind w:firstLine="525"/>
              <w:jc w:val="left"/>
            </w:pPr>
            <w:r>
              <w:rPr>
                <w:rFonts w:ascii="仿宋_GB2312" w:hAnsi="仿宋_GB2312" w:cs="仿宋_GB2312" w:eastAsia="仿宋_GB2312"/>
                <w:sz w:val="21"/>
              </w:rPr>
              <w:t>6.其它技术要求：无</w:t>
            </w:r>
          </w:p>
          <w:p>
            <w:pPr>
              <w:pStyle w:val="null3"/>
              <w:numPr>
                <w:ilvl w:val="0"/>
                <w:numId w:val="1"/>
              </w:numPr>
              <w:jc w:val="left"/>
            </w:pPr>
            <w:r>
              <w:rPr>
                <w:rFonts w:ascii="仿宋_GB2312" w:hAnsi="仿宋_GB2312" w:cs="仿宋_GB2312" w:eastAsia="仿宋_GB2312"/>
                <w:sz w:val="21"/>
                <w:b/>
              </w:rPr>
              <w:t>心脏大血管外科监护仪</w:t>
            </w:r>
            <w:r>
              <w:rPr>
                <w:rFonts w:ascii="仿宋_GB2312" w:hAnsi="仿宋_GB2312" w:cs="仿宋_GB2312" w:eastAsia="仿宋_GB2312"/>
                <w:sz w:val="21"/>
                <w:b/>
              </w:rPr>
              <w:t>PICCO模块维修服务项目</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1）技术参数要求</w:t>
            </w:r>
          </w:p>
          <w:tbl>
            <w:tblPr>
              <w:tblBorders>
                <w:top w:val="none" w:color="000000" w:sz="4"/>
                <w:left w:val="none" w:color="000000" w:sz="4"/>
                <w:bottom w:val="none" w:color="000000" w:sz="4"/>
                <w:right w:val="none" w:color="000000" w:sz="4"/>
                <w:insideH w:val="none"/>
                <w:insideV w:val="none"/>
              </w:tblBorders>
            </w:tblPr>
            <w:tblGrid>
              <w:gridCol w:w="251"/>
              <w:gridCol w:w="629"/>
              <w:gridCol w:w="2305"/>
            </w:tblGrid>
            <w:tr>
              <w:tc>
                <w:tcPr>
                  <w:tcW w:type="dxa" w:w="251"/>
                  <w:tcBorders>
                    <w:top w:val="singl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1"/>
                    </w:rPr>
                    <w:t>序号</w:t>
                  </w:r>
                </w:p>
              </w:tc>
              <w:tc>
                <w:tcPr>
                  <w:tcW w:type="dxa" w:w="629"/>
                  <w:tcBorders>
                    <w:top w:val="singl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1"/>
                    </w:rPr>
                    <w:t>项目类别</w:t>
                  </w:r>
                </w:p>
              </w:tc>
              <w:tc>
                <w:tcPr>
                  <w:tcW w:type="dxa" w:w="2305"/>
                  <w:tcBorders>
                    <w:top w:val="singl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1"/>
                    </w:rPr>
                    <w:t>招标要求</w:t>
                  </w:r>
                </w:p>
              </w:tc>
            </w:tr>
            <w:tr>
              <w:tc>
                <w:tcPr>
                  <w:tcW w:type="dxa" w:w="251"/>
                  <w:vMerge w:val="restart"/>
                  <w:tcBorders>
                    <w:top w:val="none" w:color="000000" w:sz="4"/>
                    <w:left w:val="single" w:color="000000" w:sz="4"/>
                    <w:bottom w:val="single" w:color="FFFFFF"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1"/>
                    </w:rPr>
                    <w:t>1</w:t>
                  </w:r>
                </w:p>
              </w:tc>
              <w:tc>
                <w:tcPr>
                  <w:tcW w:type="dxa" w:w="629"/>
                  <w:vMerge w:val="restart"/>
                  <w:tcBorders>
                    <w:top w:val="none" w:color="000000" w:sz="4"/>
                    <w:left w:val="none" w:color="000000" w:sz="4"/>
                    <w:bottom w:val="single" w:color="FFFFFF"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1"/>
                    </w:rPr>
                    <w:t>设备升级</w:t>
                  </w:r>
                </w:p>
              </w:tc>
              <w:tc>
                <w:tcPr>
                  <w:tcW w:type="dxa" w:w="2305"/>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pPr>
                  <w:r>
                    <w:rPr>
                      <w:rFonts w:ascii="仿宋_GB2312" w:hAnsi="仿宋_GB2312" w:cs="仿宋_GB2312" w:eastAsia="仿宋_GB2312"/>
                      <w:sz w:val="21"/>
                    </w:rPr>
                    <w:t>在科室内高端插件式监护仪上</w:t>
                  </w:r>
                  <w:r>
                    <w:rPr>
                      <w:rFonts w:ascii="仿宋_GB2312" w:hAnsi="仿宋_GB2312" w:cs="仿宋_GB2312" w:eastAsia="仿宋_GB2312"/>
                      <w:sz w:val="21"/>
                    </w:rPr>
                    <w:t>增加</w:t>
                  </w:r>
                  <w:r>
                    <w:rPr>
                      <w:rFonts w:ascii="仿宋_GB2312" w:hAnsi="仿宋_GB2312" w:cs="仿宋_GB2312" w:eastAsia="仿宋_GB2312"/>
                      <w:sz w:val="21"/>
                    </w:rPr>
                    <w:t>PICCO</w:t>
                  </w:r>
                  <w:r>
                    <w:rPr>
                      <w:rFonts w:ascii="仿宋_GB2312" w:hAnsi="仿宋_GB2312" w:cs="仿宋_GB2312" w:eastAsia="仿宋_GB2312"/>
                      <w:sz w:val="21"/>
                    </w:rPr>
                    <w:t>模块</w:t>
                  </w:r>
                  <w:r>
                    <w:rPr>
                      <w:rFonts w:ascii="仿宋_GB2312" w:hAnsi="仿宋_GB2312" w:cs="仿宋_GB2312" w:eastAsia="仿宋_GB2312"/>
                      <w:sz w:val="21"/>
                    </w:rPr>
                    <w:t>，安装成功后</w:t>
                  </w:r>
                  <w:r>
                    <w:rPr>
                      <w:rFonts w:ascii="仿宋_GB2312" w:hAnsi="仿宋_GB2312" w:cs="仿宋_GB2312" w:eastAsia="仿宋_GB2312"/>
                      <w:sz w:val="21"/>
                    </w:rPr>
                    <w:t>,可实现资源共享</w:t>
                  </w:r>
                </w:p>
              </w:tc>
            </w:tr>
            <w:tr>
              <w:tc>
                <w:tcPr>
                  <w:tcW w:type="dxa" w:w="251"/>
                  <w:vMerge/>
                  <w:tcBorders>
                    <w:top w:val="none" w:color="000000" w:sz="4"/>
                    <w:left w:val="single" w:color="000000" w:sz="4"/>
                    <w:bottom w:val="single" w:color="FFFFFF" w:sz="4"/>
                    <w:right w:val="single" w:color="000000" w:sz="4"/>
                  </w:tcBorders>
                </w:tcPr>
                <w:p/>
              </w:tc>
              <w:tc>
                <w:tcPr>
                  <w:tcW w:type="dxa" w:w="629"/>
                  <w:vMerge/>
                  <w:tcBorders>
                    <w:top w:val="none" w:color="000000" w:sz="4"/>
                    <w:left w:val="none" w:color="000000" w:sz="4"/>
                    <w:bottom w:val="single" w:color="FFFFFF" w:sz="4"/>
                    <w:right w:val="single" w:color="000000" w:sz="4"/>
                  </w:tcBorders>
                </w:tcPr>
                <w:p/>
              </w:tc>
              <w:tc>
                <w:tcPr>
                  <w:tcW w:type="dxa" w:w="2305"/>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pPr>
                  <w:r>
                    <w:rPr>
                      <w:rFonts w:ascii="仿宋_GB2312" w:hAnsi="仿宋_GB2312" w:cs="仿宋_GB2312" w:eastAsia="仿宋_GB2312"/>
                      <w:sz w:val="21"/>
                    </w:rPr>
                    <w:t>安装</w:t>
                  </w:r>
                  <w:r>
                    <w:rPr>
                      <w:rFonts w:ascii="仿宋_GB2312" w:hAnsi="仿宋_GB2312" w:cs="仿宋_GB2312" w:eastAsia="仿宋_GB2312"/>
                      <w:sz w:val="21"/>
                    </w:rPr>
                    <w:t>PICCO</w:t>
                  </w:r>
                  <w:r>
                    <w:rPr>
                      <w:rFonts w:ascii="仿宋_GB2312" w:hAnsi="仿宋_GB2312" w:cs="仿宋_GB2312" w:eastAsia="仿宋_GB2312"/>
                      <w:sz w:val="21"/>
                    </w:rPr>
                    <w:t>模块</w:t>
                  </w:r>
                  <w:r>
                    <w:rPr>
                      <w:rFonts w:ascii="仿宋_GB2312" w:hAnsi="仿宋_GB2312" w:cs="仿宋_GB2312" w:eastAsia="仿宋_GB2312"/>
                      <w:sz w:val="21"/>
                    </w:rPr>
                    <w:t>之后可实现监测参数包括：</w:t>
                  </w:r>
                </w:p>
                <w:p>
                  <w:pPr>
                    <w:pStyle w:val="null3"/>
                  </w:pPr>
                  <w:r>
                    <w:rPr>
                      <w:rFonts w:ascii="仿宋_GB2312" w:hAnsi="仿宋_GB2312" w:cs="仿宋_GB2312" w:eastAsia="仿宋_GB2312"/>
                      <w:sz w:val="21"/>
                    </w:rPr>
                    <w:t>1）连续心输出量PiCCO, 每搏量SV;</w:t>
                  </w:r>
                </w:p>
                <w:p>
                  <w:pPr>
                    <w:pStyle w:val="null3"/>
                  </w:pPr>
                  <w:r>
                    <w:rPr>
                      <w:rFonts w:ascii="仿宋_GB2312" w:hAnsi="仿宋_GB2312" w:cs="仿宋_GB2312" w:eastAsia="仿宋_GB2312"/>
                      <w:sz w:val="21"/>
                    </w:rPr>
                    <w:t>2）全心舒张末期容积GEDV，胸腔内血容量ITBV；</w:t>
                  </w:r>
                </w:p>
                <w:p>
                  <w:pPr>
                    <w:pStyle w:val="null3"/>
                  </w:pPr>
                  <w:r>
                    <w:rPr>
                      <w:rFonts w:ascii="仿宋_GB2312" w:hAnsi="仿宋_GB2312" w:cs="仿宋_GB2312" w:eastAsia="仿宋_GB2312"/>
                      <w:sz w:val="21"/>
                    </w:rPr>
                    <w:t>3）每搏量变异SVV, 脉压变异PPV,中心静脉氧饱和度连续监测ScvO2，氧供指数DO2I,氧耗指数VO2I,</w:t>
                  </w:r>
                </w:p>
                <w:p>
                  <w:pPr>
                    <w:pStyle w:val="null3"/>
                  </w:pPr>
                  <w:r>
                    <w:rPr>
                      <w:rFonts w:ascii="仿宋_GB2312" w:hAnsi="仿宋_GB2312" w:cs="仿宋_GB2312" w:eastAsia="仿宋_GB2312"/>
                      <w:sz w:val="21"/>
                    </w:rPr>
                    <w:t>4）心功指数CPI, 肺血管通透性指数PVPI，血管外肺水EVLW；全心射血分数GEF，左室收缩力指数dPmx</w:t>
                  </w:r>
                </w:p>
                <w:p>
                  <w:pPr>
                    <w:pStyle w:val="null3"/>
                  </w:pPr>
                  <w:r>
                    <w:rPr>
                      <w:rFonts w:ascii="仿宋_GB2312" w:hAnsi="仿宋_GB2312" w:cs="仿宋_GB2312" w:eastAsia="仿宋_GB2312"/>
                      <w:sz w:val="21"/>
                    </w:rPr>
                    <w:t>5）提供直观的蛛网图，方便查看病情变化，蛛网图可设置3-7个监测参数进行直观显示，通过不同颜色进行分级报警；</w:t>
                  </w:r>
                </w:p>
              </w:tc>
            </w:tr>
            <w:tr>
              <w:tc>
                <w:tcPr>
                  <w:tcW w:type="dxa" w:w="251"/>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1"/>
                    </w:rPr>
                    <w:t>2</w:t>
                  </w:r>
                </w:p>
              </w:tc>
              <w:tc>
                <w:tcPr>
                  <w:tcW w:type="dxa" w:w="629"/>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1"/>
                    </w:rPr>
                    <w:t>维修响应</w:t>
                  </w:r>
                </w:p>
              </w:tc>
              <w:tc>
                <w:tcPr>
                  <w:tcW w:type="dxa" w:w="2305"/>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pPr>
                  <w:r>
                    <w:rPr>
                      <w:rFonts w:ascii="仿宋_GB2312" w:hAnsi="仿宋_GB2312" w:cs="仿宋_GB2312" w:eastAsia="仿宋_GB2312"/>
                      <w:sz w:val="21"/>
                    </w:rPr>
                    <w:t>要求工程师</w:t>
                  </w:r>
                  <w:r>
                    <w:rPr>
                      <w:rFonts w:ascii="仿宋_GB2312" w:hAnsi="仿宋_GB2312" w:cs="仿宋_GB2312" w:eastAsia="仿宋_GB2312"/>
                      <w:sz w:val="21"/>
                    </w:rPr>
                    <w:t>2小时</w:t>
                  </w:r>
                  <w:r>
                    <w:rPr>
                      <w:rFonts w:ascii="仿宋_GB2312" w:hAnsi="仿宋_GB2312" w:cs="仿宋_GB2312" w:eastAsia="仿宋_GB2312"/>
                      <w:sz w:val="21"/>
                    </w:rPr>
                    <w:t>响应，</w:t>
                  </w:r>
                  <w:r>
                    <w:rPr>
                      <w:rFonts w:ascii="仿宋_GB2312" w:hAnsi="仿宋_GB2312" w:cs="仿宋_GB2312" w:eastAsia="仿宋_GB2312"/>
                      <w:sz w:val="21"/>
                    </w:rPr>
                    <w:t>8</w:t>
                  </w:r>
                  <w:r>
                    <w:rPr>
                      <w:rFonts w:ascii="仿宋_GB2312" w:hAnsi="仿宋_GB2312" w:cs="仿宋_GB2312" w:eastAsia="仿宋_GB2312"/>
                      <w:sz w:val="21"/>
                    </w:rPr>
                    <w:t>小时到达现场</w:t>
                  </w:r>
                  <w:r>
                    <w:rPr>
                      <w:rFonts w:ascii="仿宋_GB2312" w:hAnsi="仿宋_GB2312" w:cs="仿宋_GB2312" w:eastAsia="仿宋_GB2312"/>
                      <w:sz w:val="21"/>
                    </w:rPr>
                    <w:t>，</w:t>
                  </w:r>
                  <w:r>
                    <w:rPr>
                      <w:rFonts w:ascii="仿宋_GB2312" w:hAnsi="仿宋_GB2312" w:cs="仿宋_GB2312" w:eastAsia="仿宋_GB2312"/>
                      <w:sz w:val="21"/>
                    </w:rPr>
                    <w:t>24小时内给出解决方案，</w:t>
                  </w:r>
                  <w:r>
                    <w:rPr>
                      <w:rFonts w:ascii="仿宋_GB2312" w:hAnsi="仿宋_GB2312" w:cs="仿宋_GB2312" w:eastAsia="仿宋_GB2312"/>
                      <w:sz w:val="21"/>
                    </w:rPr>
                    <w:t>48</w:t>
                  </w:r>
                  <w:r>
                    <w:rPr>
                      <w:rFonts w:ascii="仿宋_GB2312" w:hAnsi="仿宋_GB2312" w:cs="仿宋_GB2312" w:eastAsia="仿宋_GB2312"/>
                      <w:sz w:val="21"/>
                    </w:rPr>
                    <w:t>小时内完成修复。保修期间</w:t>
                  </w:r>
                  <w:r>
                    <w:rPr>
                      <w:rFonts w:ascii="仿宋_GB2312" w:hAnsi="仿宋_GB2312" w:cs="仿宋_GB2312" w:eastAsia="仿宋_GB2312"/>
                      <w:sz w:val="21"/>
                    </w:rPr>
                    <w:t>按照招标附件、备件合同价格维修。</w:t>
                  </w:r>
                  <w:r>
                    <w:rPr>
                      <w:rFonts w:ascii="仿宋_GB2312" w:hAnsi="仿宋_GB2312" w:cs="仿宋_GB2312" w:eastAsia="仿宋_GB2312"/>
                      <w:sz w:val="21"/>
                    </w:rPr>
                    <w:t>要求</w:t>
                  </w:r>
                  <w:r>
                    <w:rPr>
                      <w:rFonts w:ascii="仿宋_GB2312" w:hAnsi="仿宋_GB2312" w:cs="仿宋_GB2312" w:eastAsia="仿宋_GB2312"/>
                      <w:sz w:val="21"/>
                    </w:rPr>
                    <w:t>PICCO</w:t>
                  </w:r>
                  <w:r>
                    <w:rPr>
                      <w:rFonts w:ascii="仿宋_GB2312" w:hAnsi="仿宋_GB2312" w:cs="仿宋_GB2312" w:eastAsia="仿宋_GB2312"/>
                      <w:sz w:val="21"/>
                    </w:rPr>
                    <w:t>模块</w:t>
                  </w:r>
                  <w:r>
                    <w:rPr>
                      <w:rFonts w:ascii="仿宋_GB2312" w:hAnsi="仿宋_GB2312" w:cs="仿宋_GB2312" w:eastAsia="仿宋_GB2312"/>
                      <w:sz w:val="21"/>
                    </w:rPr>
                    <w:t>生产厂家</w:t>
                  </w:r>
                  <w:r>
                    <w:rPr>
                      <w:rFonts w:ascii="仿宋_GB2312" w:hAnsi="仿宋_GB2312" w:cs="仿宋_GB2312" w:eastAsia="仿宋_GB2312"/>
                      <w:sz w:val="21"/>
                    </w:rPr>
                    <w:t>认证的有资质的工程师进行维修及后续维保服务，并提供相关授权文件；</w:t>
                  </w:r>
                  <w:r>
                    <w:rPr>
                      <w:rFonts w:ascii="仿宋_GB2312" w:hAnsi="仿宋_GB2312" w:cs="仿宋_GB2312" w:eastAsia="仿宋_GB2312"/>
                      <w:sz w:val="21"/>
                    </w:rPr>
                    <w:t>在保修期内，机器出现故障，</w:t>
                  </w:r>
                  <w:r>
                    <w:rPr>
                      <w:rFonts w:ascii="仿宋_GB2312" w:hAnsi="仿宋_GB2312" w:cs="仿宋_GB2312" w:eastAsia="仿宋_GB2312"/>
                      <w:sz w:val="21"/>
                    </w:rPr>
                    <w:t>PICCO</w:t>
                  </w:r>
                  <w:r>
                    <w:rPr>
                      <w:rFonts w:ascii="仿宋_GB2312" w:hAnsi="仿宋_GB2312" w:cs="仿宋_GB2312" w:eastAsia="仿宋_GB2312"/>
                      <w:sz w:val="21"/>
                    </w:rPr>
                    <w:t>模块</w:t>
                  </w:r>
                  <w:r>
                    <w:rPr>
                      <w:rFonts w:ascii="仿宋_GB2312" w:hAnsi="仿宋_GB2312" w:cs="仿宋_GB2312" w:eastAsia="仿宋_GB2312"/>
                      <w:sz w:val="21"/>
                    </w:rPr>
                    <w:t>生产厂家提供免费维修和配件更换。</w:t>
                  </w:r>
                </w:p>
              </w:tc>
            </w:tr>
            <w:tr>
              <w:tc>
                <w:tcPr>
                  <w:tcW w:type="dxa" w:w="251"/>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1"/>
                    </w:rPr>
                    <w:t>3</w:t>
                  </w:r>
                </w:p>
              </w:tc>
              <w:tc>
                <w:tcPr>
                  <w:tcW w:type="dxa" w:w="629"/>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1"/>
                    </w:rPr>
                    <w:t>技术支持</w:t>
                  </w:r>
                </w:p>
              </w:tc>
              <w:tc>
                <w:tcPr>
                  <w:tcW w:type="dxa" w:w="2305"/>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pPr>
                  <w:r>
                    <w:rPr>
                      <w:rFonts w:ascii="仿宋_GB2312" w:hAnsi="仿宋_GB2312" w:cs="仿宋_GB2312" w:eastAsia="仿宋_GB2312"/>
                      <w:sz w:val="21"/>
                    </w:rPr>
                    <w:t>具有维修诊断的客服中心，全年</w:t>
                  </w:r>
                  <w:r>
                    <w:rPr>
                      <w:rFonts w:ascii="仿宋_GB2312" w:hAnsi="仿宋_GB2312" w:cs="仿宋_GB2312" w:eastAsia="仿宋_GB2312"/>
                      <w:sz w:val="21"/>
                    </w:rPr>
                    <w:t>365</w:t>
                  </w:r>
                  <w:r>
                    <w:rPr>
                      <w:rFonts w:ascii="仿宋_GB2312" w:hAnsi="仿宋_GB2312" w:cs="仿宋_GB2312" w:eastAsia="仿宋_GB2312"/>
                      <w:sz w:val="21"/>
                    </w:rPr>
                    <w:t>天</w:t>
                  </w:r>
                  <w:r>
                    <w:rPr>
                      <w:rFonts w:ascii="仿宋_GB2312" w:hAnsi="仿宋_GB2312" w:cs="仿宋_GB2312" w:eastAsia="仿宋_GB2312"/>
                      <w:sz w:val="21"/>
                    </w:rPr>
                    <w:t>*24</w:t>
                  </w:r>
                  <w:r>
                    <w:rPr>
                      <w:rFonts w:ascii="仿宋_GB2312" w:hAnsi="仿宋_GB2312" w:cs="仿宋_GB2312" w:eastAsia="仿宋_GB2312"/>
                      <w:sz w:val="21"/>
                    </w:rPr>
                    <w:t>小时技术电话支持</w:t>
                  </w:r>
                  <w:r>
                    <w:rPr>
                      <w:rFonts w:ascii="仿宋_GB2312" w:hAnsi="仿宋_GB2312" w:cs="仿宋_GB2312" w:eastAsia="仿宋_GB2312"/>
                      <w:sz w:val="21"/>
                    </w:rPr>
                    <w:t>，</w:t>
                  </w:r>
                  <w:r>
                    <w:rPr>
                      <w:rFonts w:ascii="仿宋_GB2312" w:hAnsi="仿宋_GB2312" w:cs="仿宋_GB2312" w:eastAsia="仿宋_GB2312"/>
                      <w:sz w:val="21"/>
                    </w:rPr>
                    <w:t>供应商应有长驻西安的专职维修工程师</w:t>
                  </w:r>
                  <w:r>
                    <w:rPr>
                      <w:rFonts w:ascii="仿宋_GB2312" w:hAnsi="仿宋_GB2312" w:cs="仿宋_GB2312" w:eastAsia="仿宋_GB2312"/>
                      <w:sz w:val="21"/>
                    </w:rPr>
                    <w:t>≥3人，以便有足够的工程师派遣，并附带PICCO</w:t>
                  </w:r>
                  <w:r>
                    <w:rPr>
                      <w:rFonts w:ascii="仿宋_GB2312" w:hAnsi="仿宋_GB2312" w:cs="仿宋_GB2312" w:eastAsia="仿宋_GB2312"/>
                      <w:sz w:val="21"/>
                    </w:rPr>
                    <w:t>模块</w:t>
                  </w:r>
                  <w:r>
                    <w:rPr>
                      <w:rFonts w:ascii="仿宋_GB2312" w:hAnsi="仿宋_GB2312" w:cs="仿宋_GB2312" w:eastAsia="仿宋_GB2312"/>
                      <w:sz w:val="21"/>
                    </w:rPr>
                    <w:t>生产厂家认证的工程师名单</w:t>
                  </w:r>
                  <w:r>
                    <w:rPr>
                      <w:rFonts w:ascii="仿宋_GB2312" w:hAnsi="仿宋_GB2312" w:cs="仿宋_GB2312" w:eastAsia="仿宋_GB2312"/>
                      <w:sz w:val="21"/>
                    </w:rPr>
                    <w:t>（</w:t>
                  </w:r>
                  <w:r>
                    <w:rPr>
                      <w:rFonts w:ascii="仿宋_GB2312" w:hAnsi="仿宋_GB2312" w:cs="仿宋_GB2312" w:eastAsia="仿宋_GB2312"/>
                      <w:sz w:val="21"/>
                    </w:rPr>
                    <w:t>提供证明</w:t>
                  </w:r>
                  <w:r>
                    <w:rPr>
                      <w:rFonts w:ascii="仿宋_GB2312" w:hAnsi="仿宋_GB2312" w:cs="仿宋_GB2312" w:eastAsia="仿宋_GB2312"/>
                      <w:sz w:val="21"/>
                    </w:rPr>
                    <w:t>材料）</w:t>
                  </w:r>
                  <w:r>
                    <w:rPr>
                      <w:rFonts w:ascii="仿宋_GB2312" w:hAnsi="仿宋_GB2312" w:cs="仿宋_GB2312" w:eastAsia="仿宋_GB2312"/>
                      <w:sz w:val="21"/>
                    </w:rPr>
                    <w:t>。</w:t>
                  </w:r>
                </w:p>
              </w:tc>
            </w:tr>
            <w:tr>
              <w:tc>
                <w:tcPr>
                  <w:tcW w:type="dxa" w:w="251"/>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1"/>
                    </w:rPr>
                    <w:t>4</w:t>
                  </w:r>
                </w:p>
              </w:tc>
              <w:tc>
                <w:tcPr>
                  <w:tcW w:type="dxa" w:w="629"/>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1"/>
                    </w:rPr>
                    <w:t>备件</w:t>
                  </w:r>
                </w:p>
              </w:tc>
              <w:tc>
                <w:tcPr>
                  <w:tcW w:type="dxa" w:w="2305"/>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pPr>
                  <w:r>
                    <w:rPr>
                      <w:rFonts w:ascii="仿宋_GB2312" w:hAnsi="仿宋_GB2312" w:cs="仿宋_GB2312" w:eastAsia="仿宋_GB2312"/>
                      <w:sz w:val="21"/>
                    </w:rPr>
                    <w:t>保修</w:t>
                  </w:r>
                  <w:r>
                    <w:rPr>
                      <w:rFonts w:ascii="仿宋_GB2312" w:hAnsi="仿宋_GB2312" w:cs="仿宋_GB2312" w:eastAsia="仿宋_GB2312"/>
                      <w:sz w:val="21"/>
                    </w:rPr>
                    <w:t>包含</w:t>
                  </w:r>
                  <w:r>
                    <w:rPr>
                      <w:rFonts w:ascii="仿宋_GB2312" w:hAnsi="仿宋_GB2312" w:cs="仿宋_GB2312" w:eastAsia="仿宋_GB2312"/>
                      <w:sz w:val="21"/>
                    </w:rPr>
                    <w:t>PICCO</w:t>
                  </w:r>
                  <w:r>
                    <w:rPr>
                      <w:rFonts w:ascii="仿宋_GB2312" w:hAnsi="仿宋_GB2312" w:cs="仿宋_GB2312" w:eastAsia="仿宋_GB2312"/>
                      <w:sz w:val="21"/>
                    </w:rPr>
                    <w:t>模块</w:t>
                  </w:r>
                  <w:r>
                    <w:rPr>
                      <w:rFonts w:ascii="仿宋_GB2312" w:hAnsi="仿宋_GB2312" w:cs="仿宋_GB2312" w:eastAsia="仿宋_GB2312"/>
                      <w:sz w:val="21"/>
                    </w:rPr>
                    <w:t>及相关附件</w:t>
                  </w:r>
                  <w:r>
                    <w:rPr>
                      <w:rFonts w:ascii="仿宋_GB2312" w:hAnsi="仿宋_GB2312" w:cs="仿宋_GB2312" w:eastAsia="仿宋_GB2312"/>
                      <w:sz w:val="21"/>
                    </w:rPr>
                    <w:t>，更换备件及附件均为</w:t>
                  </w:r>
                  <w:r>
                    <w:rPr>
                      <w:rFonts w:ascii="仿宋_GB2312" w:hAnsi="仿宋_GB2312" w:cs="仿宋_GB2312" w:eastAsia="仿宋_GB2312"/>
                      <w:sz w:val="21"/>
                    </w:rPr>
                    <w:t>机器</w:t>
                  </w:r>
                  <w:r>
                    <w:rPr>
                      <w:rFonts w:ascii="仿宋_GB2312" w:hAnsi="仿宋_GB2312" w:cs="仿宋_GB2312" w:eastAsia="仿宋_GB2312"/>
                      <w:sz w:val="21"/>
                    </w:rPr>
                    <w:t>测试合格的备件</w:t>
                  </w:r>
                  <w:r>
                    <w:rPr>
                      <w:rFonts w:ascii="仿宋_GB2312" w:hAnsi="仿宋_GB2312" w:cs="仿宋_GB2312" w:eastAsia="仿宋_GB2312"/>
                      <w:sz w:val="21"/>
                    </w:rPr>
                    <w:t>，</w:t>
                  </w:r>
                  <w:r>
                    <w:rPr>
                      <w:rFonts w:ascii="仿宋_GB2312" w:hAnsi="仿宋_GB2312" w:cs="仿宋_GB2312" w:eastAsia="仿宋_GB2312"/>
                      <w:sz w:val="21"/>
                    </w:rPr>
                    <w:t>质保一年；</w:t>
                  </w:r>
                  <w:r>
                    <w:rPr>
                      <w:rFonts w:ascii="仿宋_GB2312" w:hAnsi="仿宋_GB2312" w:cs="仿宋_GB2312" w:eastAsia="仿宋_GB2312"/>
                      <w:sz w:val="21"/>
                    </w:rPr>
                    <w:t>要求维修配件为</w:t>
                  </w:r>
                  <w:r>
                    <w:rPr>
                      <w:rFonts w:ascii="仿宋_GB2312" w:hAnsi="仿宋_GB2312" w:cs="仿宋_GB2312" w:eastAsia="仿宋_GB2312"/>
                      <w:sz w:val="21"/>
                    </w:rPr>
                    <w:t>PICCO</w:t>
                  </w:r>
                  <w:r>
                    <w:rPr>
                      <w:rFonts w:ascii="仿宋_GB2312" w:hAnsi="仿宋_GB2312" w:cs="仿宋_GB2312" w:eastAsia="仿宋_GB2312"/>
                      <w:sz w:val="21"/>
                    </w:rPr>
                    <w:t>模块</w:t>
                  </w:r>
                  <w:r>
                    <w:rPr>
                      <w:rFonts w:ascii="仿宋_GB2312" w:hAnsi="仿宋_GB2312" w:cs="仿宋_GB2312" w:eastAsia="仿宋_GB2312"/>
                      <w:sz w:val="21"/>
                    </w:rPr>
                    <w:t>生产厂家</w:t>
                  </w:r>
                  <w:r>
                    <w:rPr>
                      <w:rFonts w:ascii="仿宋_GB2312" w:hAnsi="仿宋_GB2312" w:cs="仿宋_GB2312" w:eastAsia="仿宋_GB2312"/>
                      <w:sz w:val="21"/>
                    </w:rPr>
                    <w:t>公司原厂配件，并提供相关检验报告；</w:t>
                  </w:r>
                </w:p>
              </w:tc>
            </w:tr>
            <w:tr>
              <w:tc>
                <w:tcPr>
                  <w:tcW w:type="dxa" w:w="251"/>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1"/>
                    </w:rPr>
                    <w:t>5</w:t>
                  </w:r>
                </w:p>
              </w:tc>
              <w:tc>
                <w:tcPr>
                  <w:tcW w:type="dxa" w:w="629"/>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1"/>
                    </w:rPr>
                    <w:t>维护</w:t>
                  </w:r>
                </w:p>
              </w:tc>
              <w:tc>
                <w:tcPr>
                  <w:tcW w:type="dxa" w:w="2305"/>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pPr>
                  <w:r>
                    <w:rPr>
                      <w:rFonts w:ascii="仿宋_GB2312" w:hAnsi="仿宋_GB2312" w:cs="仿宋_GB2312" w:eastAsia="仿宋_GB2312"/>
                      <w:sz w:val="21"/>
                    </w:rPr>
                    <w:t>需负责甲方所辖所有相应设备的日常点检、维护保养、调试、操作、突发故障维修、设备调校等工作。</w:t>
                  </w:r>
                </w:p>
              </w:tc>
            </w:tr>
            <w:tr>
              <w:tc>
                <w:tcPr>
                  <w:tcW w:type="dxa" w:w="251"/>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1"/>
                    </w:rPr>
                    <w:t>6</w:t>
                  </w:r>
                </w:p>
              </w:tc>
              <w:tc>
                <w:tcPr>
                  <w:tcW w:type="dxa" w:w="629"/>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1"/>
                    </w:rPr>
                    <w:t>保养</w:t>
                  </w:r>
                </w:p>
              </w:tc>
              <w:tc>
                <w:tcPr>
                  <w:tcW w:type="dxa" w:w="2305"/>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pPr>
                  <w:r>
                    <w:rPr>
                      <w:rFonts w:ascii="仿宋_GB2312" w:hAnsi="仿宋_GB2312" w:cs="仿宋_GB2312" w:eastAsia="仿宋_GB2312"/>
                      <w:sz w:val="21"/>
                    </w:rPr>
                    <w:t>除故障维修外，每年全院巡检</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次，并出具</w:t>
                  </w:r>
                  <w:r>
                    <w:rPr>
                      <w:rFonts w:ascii="仿宋_GB2312" w:hAnsi="仿宋_GB2312" w:cs="仿宋_GB2312" w:eastAsia="仿宋_GB2312"/>
                      <w:sz w:val="21"/>
                    </w:rPr>
                    <w:t>详细</w:t>
                  </w:r>
                  <w:r>
                    <w:rPr>
                      <w:rFonts w:ascii="仿宋_GB2312" w:hAnsi="仿宋_GB2312" w:cs="仿宋_GB2312" w:eastAsia="仿宋_GB2312"/>
                      <w:sz w:val="21"/>
                    </w:rPr>
                    <w:t>巡检报告</w:t>
                  </w:r>
                  <w:r>
                    <w:rPr>
                      <w:rFonts w:ascii="仿宋_GB2312" w:hAnsi="仿宋_GB2312" w:cs="仿宋_GB2312" w:eastAsia="仿宋_GB2312"/>
                      <w:sz w:val="21"/>
                    </w:rPr>
                    <w:t>。</w:t>
                  </w:r>
                </w:p>
              </w:tc>
            </w:tr>
            <w:tr>
              <w:tc>
                <w:tcPr>
                  <w:tcW w:type="dxa" w:w="251"/>
                  <w:tcBorders>
                    <w:top w:val="none" w:color="000000" w:sz="4"/>
                    <w:left w:val="singl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1"/>
                    </w:rPr>
                    <w:t>7</w:t>
                  </w:r>
                </w:p>
              </w:tc>
              <w:tc>
                <w:tcPr>
                  <w:tcW w:type="dxa" w:w="629"/>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jc w:val="center"/>
                  </w:pPr>
                  <w:r>
                    <w:rPr>
                      <w:rFonts w:ascii="仿宋_GB2312" w:hAnsi="仿宋_GB2312" w:cs="仿宋_GB2312" w:eastAsia="仿宋_GB2312"/>
                      <w:sz w:val="21"/>
                    </w:rPr>
                    <w:t>开机保证率</w:t>
                  </w:r>
                </w:p>
              </w:tc>
              <w:tc>
                <w:tcPr>
                  <w:tcW w:type="dxa" w:w="2305"/>
                  <w:tcBorders>
                    <w:top w:val="none" w:color="000000" w:sz="4"/>
                    <w:left w:val="none" w:color="000000" w:sz="4"/>
                    <w:bottom w:val="single" w:color="000000" w:sz="4"/>
                    <w:right w:val="single" w:color="000000" w:sz="4"/>
                  </w:tcBorders>
                  <w:tcMar>
                    <w:top w:type="dxa" w:w="75"/>
                    <w:left w:type="dxa" w:w="75"/>
                    <w:bottom w:type="dxa" w:w="75"/>
                    <w:right w:type="dxa" w:w="75"/>
                  </w:tcMar>
                  <w:vAlign w:val="top"/>
                </w:tcPr>
                <w:p>
                  <w:pPr>
                    <w:pStyle w:val="null3"/>
                  </w:pPr>
                  <w:r>
                    <w:rPr>
                      <w:rFonts w:ascii="仿宋_GB2312" w:hAnsi="仿宋_GB2312" w:cs="仿宋_GB2312" w:eastAsia="仿宋_GB2312"/>
                      <w:sz w:val="21"/>
                    </w:rPr>
                    <w:t>如设备返厂维修需提供相应产品备用机以便科室正常开展工作。</w:t>
                  </w:r>
                </w:p>
              </w:tc>
            </w:tr>
          </w:tbl>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质量要求：必须符合行业标准及</w:t>
            </w:r>
            <w:r>
              <w:rPr>
                <w:rFonts w:ascii="仿宋_GB2312" w:hAnsi="仿宋_GB2312" w:cs="仿宋_GB2312" w:eastAsia="仿宋_GB2312"/>
                <w:sz w:val="21"/>
              </w:rPr>
              <w:t>采购人</w:t>
            </w:r>
            <w:r>
              <w:rPr>
                <w:rFonts w:ascii="仿宋_GB2312" w:hAnsi="仿宋_GB2312" w:cs="仿宋_GB2312" w:eastAsia="仿宋_GB2312"/>
                <w:sz w:val="21"/>
              </w:rPr>
              <w:t>技术参数要求。</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零配件及耗材要求：（包括专用工具）必须使用原厂或高质量认证配件，严禁使用劣质替代品；维修后必须进行完整的功能与安全验证。</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安装环境与场地要求：无</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验收标准；</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）首次验收：更换维修完成后，先由</w:t>
            </w:r>
            <w:r>
              <w:rPr>
                <w:rFonts w:ascii="仿宋_GB2312" w:hAnsi="仿宋_GB2312" w:cs="仿宋_GB2312" w:eastAsia="仿宋_GB2312"/>
                <w:sz w:val="21"/>
              </w:rPr>
              <w:t>成交代应商</w:t>
            </w:r>
            <w:r>
              <w:rPr>
                <w:rFonts w:ascii="仿宋_GB2312" w:hAnsi="仿宋_GB2312" w:cs="仿宋_GB2312" w:eastAsia="仿宋_GB2312"/>
                <w:sz w:val="21"/>
              </w:rPr>
              <w:t>进行自检并出具自检报告，自检合格后告知</w:t>
            </w:r>
            <w:r>
              <w:rPr>
                <w:rFonts w:ascii="仿宋_GB2312" w:hAnsi="仿宋_GB2312" w:cs="仿宋_GB2312" w:eastAsia="仿宋_GB2312"/>
                <w:sz w:val="21"/>
              </w:rPr>
              <w:t>采购人</w:t>
            </w:r>
            <w:r>
              <w:rPr>
                <w:rFonts w:ascii="仿宋_GB2312" w:hAnsi="仿宋_GB2312" w:cs="仿宋_GB2312" w:eastAsia="仿宋_GB2312"/>
                <w:sz w:val="21"/>
              </w:rPr>
              <w:t>；</w:t>
            </w:r>
            <w:r>
              <w:rPr>
                <w:rFonts w:ascii="仿宋_GB2312" w:hAnsi="仿宋_GB2312" w:cs="仿宋_GB2312" w:eastAsia="仿宋_GB2312"/>
                <w:sz w:val="21"/>
              </w:rPr>
              <w:t>采购人</w:t>
            </w:r>
            <w:r>
              <w:rPr>
                <w:rFonts w:ascii="仿宋_GB2312" w:hAnsi="仿宋_GB2312" w:cs="仿宋_GB2312" w:eastAsia="仿宋_GB2312"/>
                <w:sz w:val="21"/>
              </w:rPr>
              <w:t>确认</w:t>
            </w:r>
            <w:r>
              <w:rPr>
                <w:rFonts w:ascii="仿宋_GB2312" w:hAnsi="仿宋_GB2312" w:cs="仿宋_GB2312" w:eastAsia="仿宋_GB2312"/>
                <w:sz w:val="21"/>
              </w:rPr>
              <w:t>成交代应商</w:t>
            </w:r>
            <w:r>
              <w:rPr>
                <w:rFonts w:ascii="仿宋_GB2312" w:hAnsi="仿宋_GB2312" w:cs="仿宋_GB2312" w:eastAsia="仿宋_GB2312"/>
                <w:sz w:val="21"/>
              </w:rPr>
              <w:t>的自检内容后，组织</w:t>
            </w:r>
            <w:r>
              <w:rPr>
                <w:rFonts w:ascii="仿宋_GB2312" w:hAnsi="仿宋_GB2312" w:cs="仿宋_GB2312" w:eastAsia="仿宋_GB2312"/>
                <w:sz w:val="21"/>
              </w:rPr>
              <w:t>成交代应商</w:t>
            </w:r>
            <w:r>
              <w:rPr>
                <w:rFonts w:ascii="仿宋_GB2312" w:hAnsi="仿宋_GB2312" w:cs="仿宋_GB2312" w:eastAsia="仿宋_GB2312"/>
                <w:sz w:val="21"/>
              </w:rPr>
              <w:t>进行首次验收。</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）最终验收：质保满后，先由</w:t>
            </w:r>
            <w:r>
              <w:rPr>
                <w:rFonts w:ascii="仿宋_GB2312" w:hAnsi="仿宋_GB2312" w:cs="仿宋_GB2312" w:eastAsia="仿宋_GB2312"/>
                <w:sz w:val="21"/>
              </w:rPr>
              <w:t>成交代应商</w:t>
            </w:r>
            <w:r>
              <w:rPr>
                <w:rFonts w:ascii="仿宋_GB2312" w:hAnsi="仿宋_GB2312" w:cs="仿宋_GB2312" w:eastAsia="仿宋_GB2312"/>
                <w:sz w:val="21"/>
              </w:rPr>
              <w:t>进行自检并出具自检报告，自检合格后向</w:t>
            </w:r>
            <w:r>
              <w:rPr>
                <w:rFonts w:ascii="仿宋_GB2312" w:hAnsi="仿宋_GB2312" w:cs="仿宋_GB2312" w:eastAsia="仿宋_GB2312"/>
                <w:sz w:val="21"/>
              </w:rPr>
              <w:t>采购人</w:t>
            </w:r>
            <w:r>
              <w:rPr>
                <w:rFonts w:ascii="仿宋_GB2312" w:hAnsi="仿宋_GB2312" w:cs="仿宋_GB2312" w:eastAsia="仿宋_GB2312"/>
                <w:sz w:val="21"/>
              </w:rPr>
              <w:t>提验收申请；</w:t>
            </w:r>
            <w:r>
              <w:rPr>
                <w:rFonts w:ascii="仿宋_GB2312" w:hAnsi="仿宋_GB2312" w:cs="仿宋_GB2312" w:eastAsia="仿宋_GB2312"/>
                <w:sz w:val="21"/>
              </w:rPr>
              <w:t>采购人</w:t>
            </w:r>
            <w:r>
              <w:rPr>
                <w:rFonts w:ascii="仿宋_GB2312" w:hAnsi="仿宋_GB2312" w:cs="仿宋_GB2312" w:eastAsia="仿宋_GB2312"/>
                <w:sz w:val="21"/>
              </w:rPr>
              <w:t>确认</w:t>
            </w:r>
            <w:r>
              <w:rPr>
                <w:rFonts w:ascii="仿宋_GB2312" w:hAnsi="仿宋_GB2312" w:cs="仿宋_GB2312" w:eastAsia="仿宋_GB2312"/>
                <w:sz w:val="21"/>
              </w:rPr>
              <w:t>成交代应商</w:t>
            </w:r>
            <w:r>
              <w:rPr>
                <w:rFonts w:ascii="仿宋_GB2312" w:hAnsi="仿宋_GB2312" w:cs="仿宋_GB2312" w:eastAsia="仿宋_GB2312"/>
                <w:sz w:val="21"/>
              </w:rPr>
              <w:t>的自检内容后，组织</w:t>
            </w:r>
            <w:r>
              <w:rPr>
                <w:rFonts w:ascii="仿宋_GB2312" w:hAnsi="仿宋_GB2312" w:cs="仿宋_GB2312" w:eastAsia="仿宋_GB2312"/>
                <w:sz w:val="21"/>
              </w:rPr>
              <w:t>成交代应商</w:t>
            </w:r>
            <w:r>
              <w:rPr>
                <w:rFonts w:ascii="仿宋_GB2312" w:hAnsi="仿宋_GB2312" w:cs="仿宋_GB2312" w:eastAsia="仿宋_GB2312"/>
                <w:sz w:val="21"/>
              </w:rPr>
              <w:t>进行最终验收。</w:t>
            </w:r>
          </w:p>
          <w:p>
            <w:pPr>
              <w:pStyle w:val="null3"/>
              <w:ind w:firstLine="420"/>
            </w:pPr>
            <w:r>
              <w:rPr>
                <w:rFonts w:ascii="仿宋_GB2312" w:hAnsi="仿宋_GB2312" w:cs="仿宋_GB2312" w:eastAsia="仿宋_GB2312"/>
                <w:sz w:val="21"/>
              </w:rPr>
              <w:t>6.其它技术要求：无</w:t>
            </w:r>
          </w:p>
          <w:p>
            <w:pPr>
              <w:pStyle w:val="null3"/>
              <w:jc w:val="both"/>
            </w:pPr>
            <w:r>
              <w:rPr>
                <w:rFonts w:ascii="仿宋_GB2312" w:hAnsi="仿宋_GB2312" w:cs="仿宋_GB2312" w:eastAsia="仿宋_GB2312"/>
                <w:sz w:val="21"/>
                <w:b/>
              </w:rPr>
              <w:t>（三）采购项目商务需求</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1）采购项目业绩要求：</w:t>
            </w:r>
            <w:r>
              <w:rPr>
                <w:rFonts w:ascii="仿宋_GB2312" w:hAnsi="仿宋_GB2312" w:cs="仿宋_GB2312" w:eastAsia="仿宋_GB2312"/>
                <w:sz w:val="21"/>
              </w:rPr>
              <w:t>提供不少于</w:t>
            </w:r>
            <w:r>
              <w:rPr>
                <w:rFonts w:ascii="仿宋_GB2312" w:hAnsi="仿宋_GB2312" w:cs="仿宋_GB2312" w:eastAsia="仿宋_GB2312"/>
                <w:sz w:val="21"/>
              </w:rPr>
              <w:t>3份自2022年1月1日以来类似项目的维修服务业绩证明（提供合同复印件并加盖公章）。</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售后服务及培训要求：成交供应商应免费提供每周7天，24小时不间断的电话支持服务，解答采购人在使用过程中遇到的问题；成交供应商电话响应时间应小于2小时、到达现场时间不超过24小时，解决问题时间不超过48小时。</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3）包装、运输及交货期限：（包括到货期、工期）服务期限1年</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4）交货地点：西安市第九医院院内</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5）质保、维保期限：1年</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6）付款方式、支付方式、结算方式及要求：</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7）保险要求：无</w:t>
            </w:r>
          </w:p>
          <w:p>
            <w:pPr>
              <w:pStyle w:val="null3"/>
              <w:ind w:firstLine="462"/>
              <w:jc w:val="left"/>
            </w:pPr>
            <w:r>
              <w:rPr>
                <w:rFonts w:ascii="仿宋_GB2312" w:hAnsi="仿宋_GB2312" w:cs="仿宋_GB2312" w:eastAsia="仿宋_GB2312"/>
                <w:sz w:val="21"/>
              </w:rPr>
              <w:t>（</w:t>
            </w:r>
            <w:r>
              <w:rPr>
                <w:rFonts w:ascii="仿宋_GB2312" w:hAnsi="仿宋_GB2312" w:cs="仿宋_GB2312" w:eastAsia="仿宋_GB2312"/>
                <w:sz w:val="21"/>
              </w:rPr>
              <w:t>8）其它：无</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供应商根据采购需求提供所需的相应设备。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西安市第九医院</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分期支付：第一次结算之后60日内支付合同金额的90%；第二次结算之后60日内支付合同金额的10%。</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分期支付：第一次结算之后60日内支付合同金额的90%；第二次结算之后60日内支付合同金额的10%。</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（1）首次验收：更换维修完成后，先由成交供应商进行自检并出具自检报告，自检合格后告知采购人；采购人确认成交供应商的自检内容后，组织成交供应商进行首次验收。 （2）最终验收：质保满后，先由成交供应商进行自检并出具自检报告，自检合格后向采购人提验收申请；采购人确认成交供应商的自检内容后，组织成交供应商进行最终验收。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详见单一来源采购文件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 2、供应商应自协商文件递交截止时间起至谈判结束，保持在线状态。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第一次谈判报价表.docx 供应商资格证明文件.docx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营业执照等主体资格证明文件：提供统一社会信用代码的营业执照或其他组织经营的合法凭证或自然人的提供身份证明文件。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2024年度财务报告或开标前六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税收缴纳证明：提供已缴纳的 2024年8月1日以来任意时间段的纳税证明或完税证明，纳税证明或完税证明上应有代收机构或税务机关的公章或业务专用章。依法免税的投标人应提供相关文件证明。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社保缴纳证明：提供已缴存的 2024年8月1日以来任意时间段的社会保障资金缴存单据或社保机构开具的社会保险参保缴费情况证明。成立时间至提交投标文件截止时间不足一个月或依法不需要缴纳社会保障资金的投标人应提供相关文件证明。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出具履行合同所必需的设备和专业技术能力的书面声明</w:t>
            </w:r>
          </w:p>
        </w:tc>
        <w:tc>
          <w:tcPr>
            <w:tcW w:type="dxa" w:w="3322"/>
          </w:tcPr>
          <w:p>
            <w:pPr>
              <w:pStyle w:val="null3"/>
            </w:pPr>
            <w:r>
              <w:rPr>
                <w:rFonts w:ascii="仿宋_GB2312" w:hAnsi="仿宋_GB2312" w:cs="仿宋_GB2312" w:eastAsia="仿宋_GB2312"/>
              </w:rPr>
              <w:t>出具履行合同所必需的设备和专业技术能力的书面声明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出具参加政府采购活动前3年内，在经营活动中没有重大违法记录的书面声明。</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 ：法定代表人直接参加的须出具法人身份证明并与营业执照信息一致，法定代表人授权代表参加的，须出具法定代表人授权书及被授权人身份证明。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信用记录 ：供应商未被列入“信用中国”网站记录的“失信被执行人”或“重大税收违法案件当事人”名单；不处于“中国政府采购网”记录的“政府采购严重违法失信行为记录名单”中的禁止参加政府采购活动期间。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供应商承诺书 ：（1）供应商与其他投标单位无交叉控股股东、无交叉兼任高级管理人员及涉嫌联合围标、串标行为，无采购单位和招标代理机构职工在该单位兼职的情况，不向采购单位和代理机构相关人员输送利益等行贿行为（提供承诺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本项目不接受西安市第九医院职工及其亲属投资开办的企业参与本医院的政府采购活动（提供承诺书）</w:t>
            </w:r>
          </w:p>
        </w:tc>
        <w:tc>
          <w:tcPr>
            <w:tcW w:type="dxa" w:w="3322"/>
          </w:tcPr>
          <w:p>
            <w:pPr>
              <w:pStyle w:val="null3"/>
            </w:pPr>
            <w:r>
              <w:rPr>
                <w:rFonts w:ascii="仿宋_GB2312" w:hAnsi="仿宋_GB2312" w:cs="仿宋_GB2312" w:eastAsia="仿宋_GB2312"/>
              </w:rPr>
              <w:t>本项目不接受西安市第九医院职工及其亲属投资开办的企业参与本医院的政府采购活动（提供承诺书）</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中小企业声明函 响应文件封面 供应商廉洁自律承诺书.docx 供应商企业关系关联承诺书.docx 供应商认为有必要补充说明的事项.docx 第一次谈判报价表.docx 残疾人福利性单位声明函 标的清单 供应商资格证明文件.docx 商务条款响应偏差表.docx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中小企业声明函 响应文件封面 供应商廉洁自律承诺书.docx 供应商企业关系关联承诺书.docx 供应商认为有必要补充说明的事项.docx 第一次谈判报价表.docx 残疾人福利性单位声明函 标的清单 供应商资格证明文件.docx 商务条款响应偏差表.docx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中小企业声明函 响应文件封面 供应商廉洁自律承诺书.docx 供应商企业关系关联承诺书.docx 供应商认为有必要补充说明的事项.docx 第一次谈判报价表.docx 残疾人福利性单位声明函 标的清单 供应商资格证明文件.docx 商务条款响应偏差表.docx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谈判报价表</w:t>
            </w:r>
          </w:p>
        </w:tc>
        <w:tc>
          <w:tcPr>
            <w:tcW w:type="dxa" w:w="3322"/>
          </w:tcPr>
          <w:p>
            <w:pPr>
              <w:pStyle w:val="null3"/>
            </w:pPr>
            <w:r>
              <w:rPr>
                <w:rFonts w:ascii="仿宋_GB2312" w:hAnsi="仿宋_GB2312" w:cs="仿宋_GB2312" w:eastAsia="仿宋_GB2312"/>
              </w:rPr>
              <w:t>（1）谈判报价符合唯一性要求； （2）谈判报价表填写符合要求； （3）计量单位、报价货币均符合招标文件要求； （4）未超出采购预算或采购文件规定的最高限价。</w:t>
            </w:r>
          </w:p>
        </w:tc>
        <w:tc>
          <w:tcPr>
            <w:tcW w:type="dxa" w:w="1661"/>
          </w:tcPr>
          <w:p>
            <w:pPr>
              <w:pStyle w:val="null3"/>
            </w:pPr>
            <w:r>
              <w:rPr>
                <w:rFonts w:ascii="仿宋_GB2312" w:hAnsi="仿宋_GB2312" w:cs="仿宋_GB2312" w:eastAsia="仿宋_GB2312"/>
              </w:rPr>
              <w:t>第一次谈判报价表.docx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 （2）完全理解并接受《供应商企业关系关联承诺书》内容。</w:t>
            </w:r>
          </w:p>
        </w:tc>
        <w:tc>
          <w:tcPr>
            <w:tcW w:type="dxa" w:w="1661"/>
          </w:tcPr>
          <w:p>
            <w:pPr>
              <w:pStyle w:val="null3"/>
            </w:pPr>
            <w:r>
              <w:rPr>
                <w:rFonts w:ascii="仿宋_GB2312" w:hAnsi="仿宋_GB2312" w:cs="仿宋_GB2312" w:eastAsia="仿宋_GB2312"/>
              </w:rPr>
              <w:t>供应商廉洁自律承诺书.docx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无其他采购文件或法规明确规定响应无效的事项</w:t>
            </w:r>
          </w:p>
        </w:tc>
        <w:tc>
          <w:tcPr>
            <w:tcW w:type="dxa" w:w="3322"/>
          </w:tcPr>
          <w:p>
            <w:pPr>
              <w:pStyle w:val="null3"/>
            </w:pPr>
            <w:r>
              <w:rPr>
                <w:rFonts w:ascii="仿宋_GB2312" w:hAnsi="仿宋_GB2312" w:cs="仿宋_GB2312" w:eastAsia="仿宋_GB2312"/>
              </w:rPr>
              <w:t>采购文件规定的被视为无效响应的其他条款。</w:t>
            </w:r>
          </w:p>
        </w:tc>
        <w:tc>
          <w:tcPr>
            <w:tcW w:type="dxa" w:w="1661"/>
          </w:tcPr>
          <w:p>
            <w:pPr>
              <w:pStyle w:val="null3"/>
            </w:pPr>
            <w:r>
              <w:rPr>
                <w:rFonts w:ascii="仿宋_GB2312" w:hAnsi="仿宋_GB2312" w:cs="仿宋_GB2312" w:eastAsia="仿宋_GB2312"/>
              </w:rPr>
              <w:t>供应商认为有必要补充说明的事项.docx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详见附件：商务条款响应偏差表.docx</w:t>
      </w:r>
    </w:p>
    <w:p>
      <w:pPr>
        <w:pStyle w:val="null3"/>
        <w:ind w:firstLine="960"/>
      </w:pPr>
      <w:r>
        <w:rPr>
          <w:rFonts w:ascii="仿宋_GB2312" w:hAnsi="仿宋_GB2312" w:cs="仿宋_GB2312" w:eastAsia="仿宋_GB2312"/>
        </w:rPr>
        <w:t>详见附件：第一次谈判报价表.docx</w:t>
      </w:r>
    </w:p>
    <w:p>
      <w:pPr>
        <w:pStyle w:val="null3"/>
        <w:ind w:firstLine="960"/>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