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DDFD5">
      <w:pPr>
        <w:rPr>
          <w:rFonts w:hint="eastAsia" w:ascii="仿宋" w:hAnsi="仿宋" w:eastAsia="仿宋" w:cs="仿宋"/>
          <w:b/>
          <w:color w:val="auto"/>
          <w:sz w:val="32"/>
          <w:szCs w:val="32"/>
        </w:rPr>
      </w:pPr>
      <w:r>
        <w:rPr>
          <w:rFonts w:hint="eastAsia" w:ascii="仿宋" w:hAnsi="仿宋" w:eastAsia="仿宋" w:cs="仿宋"/>
          <w:b/>
          <w:color w:val="auto"/>
          <w:sz w:val="32"/>
          <w:szCs w:val="32"/>
        </w:rPr>
        <w:t>合同编号：</w:t>
      </w:r>
    </w:p>
    <w:p w14:paraId="62B3D967">
      <w:pPr>
        <w:jc w:val="center"/>
        <w:rPr>
          <w:rFonts w:hint="eastAsia" w:ascii="仿宋" w:hAnsi="仿宋" w:eastAsia="仿宋" w:cs="仿宋"/>
          <w:color w:val="auto"/>
          <w:sz w:val="52"/>
          <w:szCs w:val="52"/>
        </w:rPr>
      </w:pPr>
    </w:p>
    <w:p w14:paraId="421DFD84">
      <w:pPr>
        <w:jc w:val="center"/>
        <w:rPr>
          <w:rFonts w:hint="eastAsia" w:ascii="华文仿宋" w:hAnsi="华文仿宋" w:eastAsia="华文仿宋" w:cs="华文仿宋"/>
          <w:b/>
          <w:color w:val="auto"/>
          <w:sz w:val="32"/>
          <w:szCs w:val="32"/>
        </w:rPr>
      </w:pPr>
      <w:r>
        <w:rPr>
          <w:rFonts w:hint="eastAsia" w:ascii="华文仿宋" w:hAnsi="华文仿宋" w:eastAsia="华文仿宋" w:cs="华文仿宋"/>
          <w:b/>
          <w:color w:val="auto"/>
          <w:sz w:val="32"/>
          <w:szCs w:val="32"/>
        </w:rPr>
        <w:t>西安市第九医院</w:t>
      </w:r>
    </w:p>
    <w:p w14:paraId="563CFC69">
      <w:pPr>
        <w:jc w:val="center"/>
        <w:rPr>
          <w:rFonts w:hint="eastAsia" w:ascii="华文仿宋" w:hAnsi="华文仿宋" w:eastAsia="华文仿宋" w:cs="华文仿宋"/>
          <w:b/>
          <w:color w:val="auto"/>
          <w:spacing w:val="-20"/>
          <w:sz w:val="32"/>
          <w:szCs w:val="32"/>
        </w:rPr>
      </w:pPr>
      <w:r>
        <w:rPr>
          <w:rFonts w:hint="eastAsia" w:ascii="华文仿宋" w:hAnsi="华文仿宋" w:eastAsia="华文仿宋" w:cs="华文仿宋"/>
          <w:b/>
          <w:color w:val="auto"/>
          <w:spacing w:val="-20"/>
          <w:sz w:val="32"/>
          <w:szCs w:val="32"/>
          <w:lang w:eastAsia="zh-CN"/>
        </w:rPr>
        <w:t>心血管病院遥测心电监护系统</w:t>
      </w:r>
      <w:r>
        <w:rPr>
          <w:rFonts w:hint="eastAsia" w:ascii="华文仿宋" w:hAnsi="华文仿宋" w:eastAsia="华文仿宋" w:cs="华文仿宋"/>
          <w:b/>
          <w:color w:val="auto"/>
          <w:spacing w:val="-20"/>
          <w:sz w:val="32"/>
          <w:szCs w:val="32"/>
          <w:lang w:val="en-US" w:eastAsia="zh-CN"/>
        </w:rPr>
        <w:t>及</w:t>
      </w:r>
      <w:r>
        <w:rPr>
          <w:rFonts w:hint="eastAsia" w:ascii="华文仿宋" w:hAnsi="华文仿宋" w:eastAsia="华文仿宋" w:cs="华文仿宋"/>
          <w:b/>
          <w:color w:val="auto"/>
          <w:spacing w:val="-20"/>
          <w:sz w:val="32"/>
          <w:szCs w:val="32"/>
        </w:rPr>
        <w:t>心脏大血管外科监护仪PICCO模块维修服务项目（项目名称）</w:t>
      </w:r>
    </w:p>
    <w:p w14:paraId="09B195CC">
      <w:pPr>
        <w:pStyle w:val="2"/>
        <w:rPr>
          <w:rFonts w:hint="eastAsia" w:ascii="仿宋" w:hAnsi="仿宋" w:eastAsia="仿宋" w:cs="仿宋"/>
          <w:b/>
          <w:color w:val="auto"/>
          <w:sz w:val="72"/>
          <w:szCs w:val="72"/>
        </w:rPr>
      </w:pPr>
    </w:p>
    <w:p w14:paraId="63F9D946">
      <w:pPr>
        <w:pStyle w:val="2"/>
        <w:rPr>
          <w:rFonts w:hint="eastAsia" w:ascii="仿宋" w:hAnsi="仿宋" w:eastAsia="仿宋" w:cs="仿宋"/>
          <w:b/>
          <w:color w:val="auto"/>
          <w:sz w:val="72"/>
          <w:szCs w:val="72"/>
        </w:rPr>
      </w:pPr>
    </w:p>
    <w:p w14:paraId="477C37D6">
      <w:pPr>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服 务 合 同</w:t>
      </w:r>
    </w:p>
    <w:p w14:paraId="52F4411D">
      <w:pPr>
        <w:jc w:val="center"/>
        <w:rPr>
          <w:rFonts w:hint="eastAsia" w:ascii="仿宋" w:hAnsi="仿宋" w:eastAsia="仿宋" w:cs="仿宋"/>
          <w:color w:val="auto"/>
          <w:sz w:val="30"/>
          <w:szCs w:val="30"/>
        </w:rPr>
      </w:pPr>
      <w:r>
        <w:rPr>
          <w:rFonts w:hint="eastAsia" w:ascii="仿宋" w:hAnsi="仿宋" w:eastAsia="仿宋" w:cs="仿宋"/>
          <w:color w:val="auto"/>
          <w:sz w:val="30"/>
          <w:szCs w:val="30"/>
        </w:rPr>
        <w:t>（项目编号：         ）</w:t>
      </w:r>
    </w:p>
    <w:p w14:paraId="276126B8">
      <w:pPr>
        <w:jc w:val="center"/>
        <w:rPr>
          <w:rFonts w:hint="eastAsia" w:ascii="仿宋" w:hAnsi="仿宋" w:eastAsia="仿宋" w:cs="仿宋"/>
          <w:color w:val="auto"/>
          <w:sz w:val="30"/>
          <w:szCs w:val="30"/>
        </w:rPr>
      </w:pPr>
    </w:p>
    <w:p w14:paraId="4505679B">
      <w:pPr>
        <w:jc w:val="center"/>
        <w:rPr>
          <w:rFonts w:hint="eastAsia" w:ascii="仿宋" w:hAnsi="仿宋" w:eastAsia="仿宋" w:cs="仿宋"/>
          <w:color w:val="auto"/>
          <w:sz w:val="30"/>
          <w:szCs w:val="30"/>
        </w:rPr>
      </w:pPr>
    </w:p>
    <w:p w14:paraId="06DFF38F">
      <w:pPr>
        <w:jc w:val="both"/>
        <w:rPr>
          <w:rFonts w:hint="eastAsia" w:ascii="仿宋" w:hAnsi="仿宋" w:eastAsia="仿宋" w:cs="仿宋"/>
          <w:color w:val="auto"/>
          <w:sz w:val="28"/>
          <w:szCs w:val="28"/>
        </w:rPr>
      </w:pPr>
    </w:p>
    <w:p w14:paraId="24EC32AD">
      <w:pPr>
        <w:jc w:val="center"/>
        <w:rPr>
          <w:rFonts w:hint="eastAsia" w:ascii="仿宋" w:hAnsi="仿宋" w:eastAsia="仿宋" w:cs="仿宋"/>
          <w:color w:val="auto"/>
          <w:sz w:val="30"/>
          <w:szCs w:val="30"/>
        </w:rPr>
      </w:pPr>
    </w:p>
    <w:p w14:paraId="58D70932">
      <w:pPr>
        <w:jc w:val="center"/>
        <w:rPr>
          <w:rFonts w:hint="eastAsia" w:ascii="仿宋" w:hAnsi="仿宋" w:eastAsia="仿宋" w:cs="仿宋"/>
          <w:color w:val="auto"/>
          <w:sz w:val="30"/>
          <w:szCs w:val="30"/>
        </w:rPr>
      </w:pPr>
    </w:p>
    <w:p w14:paraId="6CA1712F">
      <w:pPr>
        <w:keepNext w:val="0"/>
        <w:keepLines w:val="0"/>
        <w:pageBreakBefore w:val="0"/>
        <w:widowControl w:val="0"/>
        <w:kinsoku/>
        <w:wordWrap/>
        <w:overflowPunct/>
        <w:topLinePunct w:val="0"/>
        <w:autoSpaceDE/>
        <w:autoSpaceDN/>
        <w:bidi w:val="0"/>
        <w:adjustRightInd/>
        <w:snapToGrid/>
        <w:spacing w:line="360" w:lineRule="auto"/>
        <w:ind w:firstLine="1593" w:firstLineChars="664"/>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甲  方：西安市第九医院</w:t>
      </w:r>
    </w:p>
    <w:p w14:paraId="24580F2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1593" w:firstLineChars="664"/>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乙  方：XXXXXXX</w:t>
      </w:r>
    </w:p>
    <w:p w14:paraId="4B317A90">
      <w:pPr>
        <w:pStyle w:val="2"/>
        <w:rPr>
          <w:rFonts w:hint="eastAsia"/>
          <w:color w:val="auto"/>
        </w:rPr>
      </w:pPr>
    </w:p>
    <w:p w14:paraId="4E0E7A5F">
      <w:pPr>
        <w:jc w:val="center"/>
        <w:rPr>
          <w:rFonts w:hint="eastAsia" w:ascii="仿宋" w:hAnsi="仿宋" w:eastAsia="仿宋" w:cs="仿宋"/>
          <w:color w:val="auto"/>
          <w:sz w:val="24"/>
          <w:szCs w:val="24"/>
        </w:rPr>
      </w:pPr>
    </w:p>
    <w:p w14:paraId="18F8310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月</w:t>
      </w:r>
    </w:p>
    <w:p w14:paraId="35991F80">
      <w:pPr>
        <w:jc w:val="center"/>
        <w:rPr>
          <w:rFonts w:hint="eastAsia" w:ascii="仿宋" w:hAnsi="仿宋" w:eastAsia="仿宋" w:cs="仿宋"/>
          <w:color w:val="auto"/>
          <w:sz w:val="24"/>
          <w:szCs w:val="24"/>
        </w:rPr>
      </w:pPr>
    </w:p>
    <w:p w14:paraId="3A43BC9C">
      <w:pPr>
        <w:jc w:val="center"/>
        <w:rPr>
          <w:rFonts w:hint="eastAsia" w:ascii="仿宋" w:hAnsi="仿宋" w:eastAsia="仿宋" w:cs="仿宋"/>
          <w:b/>
          <w:color w:val="auto"/>
          <w:sz w:val="24"/>
          <w:szCs w:val="24"/>
        </w:rPr>
      </w:pPr>
      <w:r>
        <w:rPr>
          <w:rFonts w:hint="eastAsia" w:ascii="仿宋" w:hAnsi="仿宋" w:eastAsia="仿宋" w:cs="仿宋"/>
          <w:color w:val="auto"/>
          <w:sz w:val="24"/>
          <w:szCs w:val="24"/>
        </w:rPr>
        <w:t>中国  西安</w:t>
      </w:r>
    </w:p>
    <w:p w14:paraId="3612AC2D">
      <w:pPr>
        <w:jc w:val="center"/>
        <w:rPr>
          <w:rFonts w:hint="eastAsia" w:ascii="华文仿宋" w:hAnsi="华文仿宋" w:eastAsia="华文仿宋" w:cs="华文仿宋"/>
          <w:b/>
          <w:color w:val="auto"/>
          <w:sz w:val="32"/>
          <w:szCs w:val="32"/>
        </w:rPr>
      </w:pPr>
    </w:p>
    <w:p w14:paraId="5CA74137">
      <w:pPr>
        <w:jc w:val="both"/>
        <w:rPr>
          <w:rFonts w:hint="eastAsia" w:ascii="华文仿宋" w:hAnsi="华文仿宋" w:eastAsia="华文仿宋" w:cs="华文仿宋"/>
          <w:b/>
          <w:color w:val="auto"/>
          <w:sz w:val="32"/>
          <w:szCs w:val="32"/>
        </w:rPr>
      </w:pPr>
    </w:p>
    <w:p w14:paraId="4E0F02AA">
      <w:pPr>
        <w:jc w:val="center"/>
        <w:rPr>
          <w:rFonts w:hint="eastAsia" w:ascii="华文仿宋" w:hAnsi="华文仿宋" w:eastAsia="华文仿宋" w:cs="华文仿宋"/>
          <w:b/>
          <w:color w:val="auto"/>
          <w:sz w:val="32"/>
          <w:szCs w:val="32"/>
        </w:rPr>
      </w:pPr>
      <w:r>
        <w:rPr>
          <w:rFonts w:hint="eastAsia" w:ascii="华文仿宋" w:hAnsi="华文仿宋" w:eastAsia="华文仿宋" w:cs="华文仿宋"/>
          <w:b/>
          <w:color w:val="auto"/>
          <w:sz w:val="32"/>
          <w:szCs w:val="32"/>
        </w:rPr>
        <w:t>服 务 合 同</w:t>
      </w:r>
    </w:p>
    <w:p w14:paraId="3E99C1F6">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甲方（采购人）：西安市第九医院</w:t>
      </w:r>
    </w:p>
    <w:p w14:paraId="12DEF3A1">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乙方</w:t>
      </w:r>
      <w:r>
        <w:rPr>
          <w:rFonts w:hint="eastAsia" w:ascii="华文仿宋" w:hAnsi="华文仿宋" w:eastAsia="华文仿宋" w:cs="华文仿宋"/>
          <w:b/>
          <w:color w:val="auto"/>
          <w:sz w:val="21"/>
          <w:szCs w:val="21"/>
        </w:rPr>
        <w:t>（供应商）</w:t>
      </w:r>
      <w:r>
        <w:rPr>
          <w:rFonts w:hint="eastAsia" w:ascii="华文仿宋" w:hAnsi="华文仿宋" w:eastAsia="华文仿宋" w:cs="华文仿宋"/>
          <w:color w:val="auto"/>
          <w:sz w:val="21"/>
          <w:szCs w:val="21"/>
        </w:rPr>
        <w:t>：</w:t>
      </w:r>
    </w:p>
    <w:p w14:paraId="0276832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甲方所需服务在西安市财政局政府采购管理处的监督管理下，按照政府采购程序组织</w:t>
      </w:r>
      <w:r>
        <w:rPr>
          <w:rFonts w:hint="eastAsia" w:ascii="华文仿宋" w:hAnsi="华文仿宋" w:eastAsia="华文仿宋" w:cs="华文仿宋"/>
          <w:color w:val="auto"/>
          <w:sz w:val="21"/>
          <w:szCs w:val="21"/>
          <w:lang w:val="en-US" w:eastAsia="zh-CN"/>
        </w:rPr>
        <w:t>单一来源采购</w:t>
      </w:r>
      <w:r>
        <w:rPr>
          <w:rFonts w:hint="eastAsia" w:ascii="华文仿宋" w:hAnsi="华文仿宋" w:eastAsia="华文仿宋" w:cs="华文仿宋"/>
          <w:color w:val="auto"/>
          <w:sz w:val="21"/>
          <w:szCs w:val="21"/>
        </w:rPr>
        <w:t>，确定乙方为</w:t>
      </w:r>
      <w:r>
        <w:rPr>
          <w:rFonts w:hint="eastAsia" w:ascii="华文仿宋" w:hAnsi="华文仿宋" w:eastAsia="华文仿宋" w:cs="华文仿宋"/>
          <w:color w:val="auto"/>
          <w:sz w:val="21"/>
          <w:szCs w:val="21"/>
          <w:lang w:eastAsia="zh-CN"/>
        </w:rPr>
        <w:t>心血管病院遥测心电监护系统</w:t>
      </w:r>
      <w:r>
        <w:rPr>
          <w:rFonts w:hint="eastAsia" w:ascii="华文仿宋" w:hAnsi="华文仿宋" w:eastAsia="华文仿宋" w:cs="华文仿宋"/>
          <w:color w:val="auto"/>
          <w:sz w:val="21"/>
          <w:szCs w:val="21"/>
          <w:lang w:val="en-US" w:eastAsia="zh-CN"/>
        </w:rPr>
        <w:t>及</w:t>
      </w:r>
      <w:r>
        <w:rPr>
          <w:rFonts w:hint="eastAsia" w:ascii="华文仿宋" w:hAnsi="华文仿宋" w:eastAsia="华文仿宋" w:cs="华文仿宋"/>
          <w:color w:val="auto"/>
          <w:sz w:val="21"/>
          <w:szCs w:val="21"/>
        </w:rPr>
        <w:t>心脏大血管外科监护仪PICCO模块维修服务项目（项目编号：</w:t>
      </w:r>
      <w:r>
        <w:rPr>
          <w:rFonts w:hint="eastAsia" w:ascii="华文仿宋" w:hAnsi="华文仿宋" w:eastAsia="华文仿宋" w:cs="华文仿宋"/>
          <w:color w:val="auto"/>
          <w:sz w:val="21"/>
          <w:szCs w:val="21"/>
          <w:lang w:val="en-US" w:eastAsia="zh-CN"/>
        </w:rPr>
        <w:t>DXSY2025-036</w:t>
      </w:r>
      <w:r>
        <w:rPr>
          <w:rFonts w:hint="eastAsia" w:ascii="华文仿宋" w:hAnsi="华文仿宋" w:eastAsia="华文仿宋" w:cs="华文仿宋"/>
          <w:color w:val="auto"/>
          <w:sz w:val="21"/>
          <w:szCs w:val="21"/>
        </w:rPr>
        <w:t>）成交供应商。依据《中华人民共和国政府采购法》《中华人民共和国民法典》等规定以及西安市第九医院</w:t>
      </w:r>
      <w:r>
        <w:rPr>
          <w:rFonts w:hint="eastAsia" w:ascii="华文仿宋" w:hAnsi="华文仿宋" w:eastAsia="华文仿宋" w:cs="华文仿宋"/>
          <w:color w:val="auto"/>
          <w:sz w:val="21"/>
          <w:szCs w:val="21"/>
          <w:lang w:val="en-US" w:eastAsia="zh-CN"/>
        </w:rPr>
        <w:t>单一来源采购</w:t>
      </w:r>
      <w:r>
        <w:rPr>
          <w:rFonts w:hint="eastAsia" w:ascii="华文仿宋" w:hAnsi="华文仿宋" w:eastAsia="华文仿宋" w:cs="华文仿宋"/>
          <w:color w:val="auto"/>
          <w:sz w:val="21"/>
          <w:szCs w:val="21"/>
        </w:rPr>
        <w:t>文件、成交通知书，经甲、乙双方协商，达成如下合同条款。</w:t>
      </w:r>
    </w:p>
    <w:p w14:paraId="7A189CAC">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一、合同标的物内容及数量（以响应文件正本和澄清表〈函〉为准）</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0E88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56C3312B">
            <w:pPr>
              <w:keepNext w:val="0"/>
              <w:keepLines w:val="0"/>
              <w:pageBreakBefore w:val="0"/>
              <w:widowControl w:val="0"/>
              <w:tabs>
                <w:tab w:val="left" w:pos="480"/>
              </w:tabs>
              <w:kinsoku/>
              <w:wordWrap/>
              <w:overflowPunct/>
              <w:topLinePunct w:val="0"/>
              <w:bidi w:val="0"/>
              <w:spacing w:line="360" w:lineRule="auto"/>
              <w:jc w:val="both"/>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序号</w:t>
            </w:r>
          </w:p>
        </w:tc>
        <w:tc>
          <w:tcPr>
            <w:tcW w:w="1351" w:type="dxa"/>
            <w:noWrap w:val="0"/>
            <w:vAlign w:val="center"/>
          </w:tcPr>
          <w:p w14:paraId="3F893413">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服务名称</w:t>
            </w:r>
          </w:p>
        </w:tc>
        <w:tc>
          <w:tcPr>
            <w:tcW w:w="1351" w:type="dxa"/>
            <w:noWrap w:val="0"/>
            <w:vAlign w:val="center"/>
          </w:tcPr>
          <w:p w14:paraId="4CB19A94">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服务内容</w:t>
            </w:r>
          </w:p>
        </w:tc>
        <w:tc>
          <w:tcPr>
            <w:tcW w:w="1351" w:type="dxa"/>
            <w:noWrap w:val="0"/>
            <w:vAlign w:val="center"/>
          </w:tcPr>
          <w:p w14:paraId="427A57DD">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计量单位</w:t>
            </w:r>
          </w:p>
        </w:tc>
        <w:tc>
          <w:tcPr>
            <w:tcW w:w="1351" w:type="dxa"/>
            <w:noWrap w:val="0"/>
            <w:vAlign w:val="center"/>
          </w:tcPr>
          <w:p w14:paraId="69BAF44A">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服务时间</w:t>
            </w:r>
          </w:p>
        </w:tc>
        <w:tc>
          <w:tcPr>
            <w:tcW w:w="1351" w:type="dxa"/>
            <w:noWrap w:val="0"/>
            <w:vAlign w:val="center"/>
          </w:tcPr>
          <w:p w14:paraId="623E4A0B">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数量</w:t>
            </w:r>
          </w:p>
        </w:tc>
        <w:tc>
          <w:tcPr>
            <w:tcW w:w="1352" w:type="dxa"/>
            <w:noWrap w:val="0"/>
            <w:vAlign w:val="center"/>
          </w:tcPr>
          <w:p w14:paraId="3BE24A9C">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备注</w:t>
            </w:r>
          </w:p>
        </w:tc>
      </w:tr>
      <w:tr w14:paraId="1DD7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1B6741D">
            <w:pPr>
              <w:keepNext w:val="0"/>
              <w:keepLines w:val="0"/>
              <w:pageBreakBefore w:val="0"/>
              <w:widowControl w:val="0"/>
              <w:tabs>
                <w:tab w:val="left" w:pos="480"/>
              </w:tabs>
              <w:kinsoku/>
              <w:wordWrap/>
              <w:overflowPunct/>
              <w:topLinePunct w:val="0"/>
              <w:bidi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1</w:t>
            </w:r>
          </w:p>
        </w:tc>
        <w:tc>
          <w:tcPr>
            <w:tcW w:w="1351" w:type="dxa"/>
            <w:noWrap w:val="0"/>
            <w:vAlign w:val="center"/>
          </w:tcPr>
          <w:p w14:paraId="190F9BEB">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50CDFC0E">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64FC01A5">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center"/>
          </w:tcPr>
          <w:p w14:paraId="7750B14F">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090B66C2">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2" w:type="dxa"/>
            <w:noWrap w:val="0"/>
            <w:vAlign w:val="top"/>
          </w:tcPr>
          <w:p w14:paraId="17561D42">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r>
      <w:tr w14:paraId="06CC0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A32FEAC">
            <w:pPr>
              <w:keepNext w:val="0"/>
              <w:keepLines w:val="0"/>
              <w:pageBreakBefore w:val="0"/>
              <w:widowControl w:val="0"/>
              <w:tabs>
                <w:tab w:val="left" w:pos="480"/>
              </w:tabs>
              <w:kinsoku/>
              <w:wordWrap/>
              <w:overflowPunct/>
              <w:topLinePunct w:val="0"/>
              <w:bidi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2</w:t>
            </w:r>
          </w:p>
        </w:tc>
        <w:tc>
          <w:tcPr>
            <w:tcW w:w="1351" w:type="dxa"/>
            <w:noWrap w:val="0"/>
            <w:vAlign w:val="center"/>
          </w:tcPr>
          <w:p w14:paraId="5B6EEC3C">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312640AF">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193F646B">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center"/>
          </w:tcPr>
          <w:p w14:paraId="6C9CB89A">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1" w:type="dxa"/>
            <w:noWrap w:val="0"/>
            <w:vAlign w:val="top"/>
          </w:tcPr>
          <w:p w14:paraId="2DF5B530">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c>
          <w:tcPr>
            <w:tcW w:w="1352" w:type="dxa"/>
            <w:noWrap w:val="0"/>
            <w:vAlign w:val="top"/>
          </w:tcPr>
          <w:p w14:paraId="4098089D">
            <w:pPr>
              <w:keepNext w:val="0"/>
              <w:keepLines w:val="0"/>
              <w:pageBreakBefore w:val="0"/>
              <w:widowControl w:val="0"/>
              <w:tabs>
                <w:tab w:val="left" w:pos="480"/>
              </w:tabs>
              <w:kinsoku/>
              <w:wordWrap/>
              <w:overflowPunct/>
              <w:topLinePunct w:val="0"/>
              <w:bidi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p>
        </w:tc>
      </w:tr>
      <w:tr w14:paraId="1F0A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356554F">
            <w:pPr>
              <w:keepNext w:val="0"/>
              <w:keepLines w:val="0"/>
              <w:pageBreakBefore w:val="0"/>
              <w:widowControl w:val="0"/>
              <w:tabs>
                <w:tab w:val="left" w:pos="480"/>
              </w:tabs>
              <w:kinsoku/>
              <w:wordWrap/>
              <w:overflowPunct/>
              <w:topLinePunct w:val="0"/>
              <w:bidi w:val="0"/>
              <w:spacing w:line="360" w:lineRule="auto"/>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合计</w:t>
            </w:r>
          </w:p>
        </w:tc>
        <w:tc>
          <w:tcPr>
            <w:tcW w:w="8107" w:type="dxa"/>
            <w:gridSpan w:val="6"/>
            <w:noWrap w:val="0"/>
            <w:vAlign w:val="center"/>
          </w:tcPr>
          <w:p w14:paraId="376A7EBA">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color w:val="auto"/>
                <w:spacing w:val="-20"/>
                <w:kern w:val="0"/>
                <w:sz w:val="21"/>
                <w:szCs w:val="21"/>
              </w:rPr>
            </w:pPr>
          </w:p>
        </w:tc>
      </w:tr>
      <w:tr w14:paraId="2D62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52CA073">
            <w:pPr>
              <w:keepNext w:val="0"/>
              <w:keepLines w:val="0"/>
              <w:pageBreakBefore w:val="0"/>
              <w:widowControl w:val="0"/>
              <w:tabs>
                <w:tab w:val="left" w:pos="480"/>
              </w:tabs>
              <w:kinsoku/>
              <w:wordWrap/>
              <w:overflowPunct/>
              <w:topLinePunct w:val="0"/>
              <w:bidi w:val="0"/>
              <w:spacing w:line="360" w:lineRule="auto"/>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说明</w:t>
            </w:r>
          </w:p>
        </w:tc>
        <w:tc>
          <w:tcPr>
            <w:tcW w:w="8107" w:type="dxa"/>
            <w:gridSpan w:val="6"/>
            <w:noWrap w:val="0"/>
            <w:vAlign w:val="center"/>
          </w:tcPr>
          <w:p w14:paraId="3DB21E5F">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color w:val="auto"/>
                <w:spacing w:val="-20"/>
                <w:kern w:val="0"/>
                <w:sz w:val="21"/>
                <w:szCs w:val="21"/>
              </w:rPr>
            </w:pPr>
          </w:p>
        </w:tc>
      </w:tr>
    </w:tbl>
    <w:p w14:paraId="6A4CBC4F">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（上表仅供参考，应根据项目具体内容修改填写，详细服务内容及明细标准可附附件或详见</w:t>
      </w:r>
      <w:r>
        <w:rPr>
          <w:rFonts w:hint="eastAsia" w:ascii="华文仿宋" w:hAnsi="华文仿宋" w:eastAsia="华文仿宋" w:cs="华文仿宋"/>
          <w:b/>
          <w:color w:val="auto"/>
          <w:spacing w:val="-20"/>
          <w:kern w:val="0"/>
          <w:sz w:val="21"/>
          <w:szCs w:val="21"/>
          <w:lang w:eastAsia="zh-CN"/>
        </w:rPr>
        <w:t>单一来源采购</w:t>
      </w:r>
      <w:r>
        <w:rPr>
          <w:rFonts w:hint="eastAsia" w:ascii="华文仿宋" w:hAnsi="华文仿宋" w:eastAsia="华文仿宋" w:cs="华文仿宋"/>
          <w:b/>
          <w:color w:val="auto"/>
          <w:spacing w:val="-20"/>
          <w:kern w:val="0"/>
          <w:sz w:val="21"/>
          <w:szCs w:val="21"/>
        </w:rPr>
        <w:t>文件，需说明清楚）</w:t>
      </w:r>
    </w:p>
    <w:p w14:paraId="662CCA29">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二、服务条件</w:t>
      </w:r>
    </w:p>
    <w:p w14:paraId="2345C6C4">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（一）服务地点：甲方指定地点。</w:t>
      </w:r>
    </w:p>
    <w:p w14:paraId="3DE5190B">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（二）服务期：</w:t>
      </w:r>
      <w:r>
        <w:rPr>
          <w:rFonts w:hint="eastAsia" w:ascii="华文仿宋" w:hAnsi="华文仿宋" w:eastAsia="华文仿宋" w:cs="华文仿宋"/>
          <w:color w:val="auto"/>
          <w:sz w:val="21"/>
          <w:szCs w:val="21"/>
          <w:lang w:eastAsia="zh-CN"/>
        </w:rPr>
        <w:t>自合同签订之日起</w:t>
      </w:r>
      <w:r>
        <w:rPr>
          <w:rFonts w:hint="eastAsia" w:ascii="华文仿宋" w:hAnsi="华文仿宋" w:eastAsia="华文仿宋" w:cs="华文仿宋"/>
          <w:color w:val="auto"/>
          <w:sz w:val="21"/>
          <w:szCs w:val="21"/>
          <w:lang w:val="en-US" w:eastAsia="zh-CN"/>
        </w:rPr>
        <w:t>1</w:t>
      </w:r>
      <w:r>
        <w:rPr>
          <w:rFonts w:hint="eastAsia" w:ascii="华文仿宋" w:hAnsi="华文仿宋" w:eastAsia="华文仿宋" w:cs="华文仿宋"/>
          <w:color w:val="auto"/>
          <w:sz w:val="21"/>
          <w:szCs w:val="21"/>
          <w:lang w:eastAsia="zh-CN"/>
        </w:rPr>
        <w:t>年</w:t>
      </w:r>
      <w:r>
        <w:rPr>
          <w:rFonts w:hint="eastAsia" w:ascii="华文仿宋" w:hAnsi="华文仿宋" w:eastAsia="华文仿宋" w:cs="华文仿宋"/>
          <w:color w:val="auto"/>
          <w:sz w:val="21"/>
          <w:szCs w:val="21"/>
        </w:rPr>
        <w:t>。</w:t>
      </w:r>
    </w:p>
    <w:p w14:paraId="53CDA4A2">
      <w:pPr>
        <w:pStyle w:val="2"/>
        <w:keepNext w:val="0"/>
        <w:keepLines w:val="0"/>
        <w:pageBreakBefore w:val="0"/>
        <w:widowControl w:val="0"/>
        <w:kinsoku/>
        <w:wordWrap/>
        <w:overflowPunct/>
        <w:topLinePunct w:val="0"/>
        <w:autoSpaceDE/>
        <w:autoSpaceDN/>
        <w:bidi w:val="0"/>
        <w:adjustRightInd/>
        <w:spacing w:line="360" w:lineRule="auto"/>
        <w:textAlignment w:val="auto"/>
        <w:rPr>
          <w:rFonts w:hint="default" w:eastAsia="华文仿宋"/>
          <w:color w:val="auto"/>
          <w:highlight w:val="none"/>
          <w:lang w:val="en-US" w:eastAsia="zh-CN"/>
        </w:rPr>
      </w:pPr>
      <w:r>
        <w:rPr>
          <w:rFonts w:hint="eastAsia" w:ascii="华文仿宋" w:hAnsi="华文仿宋" w:eastAsia="华文仿宋" w:cs="华文仿宋"/>
          <w:color w:val="auto"/>
          <w:sz w:val="21"/>
          <w:szCs w:val="21"/>
          <w:lang w:val="en-US" w:eastAsia="zh-CN"/>
        </w:rPr>
        <w:t xml:space="preserve"> </w:t>
      </w:r>
      <w:r>
        <w:rPr>
          <w:rFonts w:hint="eastAsia" w:ascii="华文仿宋" w:hAnsi="华文仿宋" w:eastAsia="华文仿宋" w:cs="华文仿宋"/>
          <w:color w:val="auto"/>
          <w:sz w:val="21"/>
          <w:szCs w:val="21"/>
          <w:highlight w:val="none"/>
          <w:lang w:val="en-US" w:eastAsia="zh-CN"/>
        </w:rPr>
        <w:t xml:space="preserve">   （三）维保、质保期：1年。</w:t>
      </w:r>
    </w:p>
    <w:p w14:paraId="1E1D802E">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highlight w:val="none"/>
        </w:rPr>
      </w:pPr>
      <w:r>
        <w:rPr>
          <w:rFonts w:hint="eastAsia" w:ascii="华文仿宋" w:hAnsi="华文仿宋" w:eastAsia="华文仿宋" w:cs="华文仿宋"/>
          <w:b/>
          <w:color w:val="auto"/>
          <w:spacing w:val="-20"/>
          <w:kern w:val="0"/>
          <w:sz w:val="21"/>
          <w:szCs w:val="21"/>
          <w:highlight w:val="none"/>
        </w:rPr>
        <w:t>三、合同价款</w:t>
      </w:r>
    </w:p>
    <w:p w14:paraId="1C1A7518">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highlight w:val="none"/>
        </w:rPr>
      </w:pPr>
      <w:r>
        <w:rPr>
          <w:rFonts w:hint="eastAsia" w:ascii="华文仿宋" w:hAnsi="华文仿宋" w:eastAsia="华文仿宋" w:cs="华文仿宋"/>
          <w:color w:val="auto"/>
          <w:sz w:val="21"/>
          <w:szCs w:val="21"/>
          <w:highlight w:val="none"/>
        </w:rPr>
        <w:t>（一）合同总价款为人民币（大写）</w:t>
      </w:r>
      <w:r>
        <w:rPr>
          <w:rFonts w:hint="eastAsia" w:ascii="华文仿宋" w:hAnsi="华文仿宋" w:eastAsia="华文仿宋" w:cs="华文仿宋"/>
          <w:color w:val="auto"/>
          <w:sz w:val="21"/>
          <w:szCs w:val="21"/>
          <w:highlight w:val="none"/>
          <w:u w:val="single"/>
        </w:rPr>
        <w:t xml:space="preserve">             </w:t>
      </w:r>
      <w:r>
        <w:rPr>
          <w:rFonts w:hint="eastAsia" w:ascii="华文仿宋" w:hAnsi="华文仿宋" w:eastAsia="华文仿宋" w:cs="华文仿宋"/>
          <w:color w:val="auto"/>
          <w:sz w:val="21"/>
          <w:szCs w:val="21"/>
          <w:highlight w:val="none"/>
        </w:rPr>
        <w:t>；¥</w:t>
      </w:r>
      <w:r>
        <w:rPr>
          <w:rFonts w:hint="eastAsia" w:ascii="华文仿宋" w:hAnsi="华文仿宋" w:eastAsia="华文仿宋" w:cs="华文仿宋"/>
          <w:color w:val="auto"/>
          <w:sz w:val="21"/>
          <w:szCs w:val="21"/>
          <w:highlight w:val="none"/>
          <w:u w:val="single"/>
        </w:rPr>
        <w:t xml:space="preserve">      </w:t>
      </w:r>
      <w:r>
        <w:rPr>
          <w:rFonts w:hint="eastAsia" w:ascii="华文仿宋" w:hAnsi="华文仿宋" w:eastAsia="华文仿宋" w:cs="华文仿宋"/>
          <w:color w:val="auto"/>
          <w:sz w:val="21"/>
          <w:szCs w:val="21"/>
          <w:highlight w:val="none"/>
        </w:rPr>
        <w:t>元。</w:t>
      </w:r>
    </w:p>
    <w:p w14:paraId="08E1D152">
      <w:pPr>
        <w:pStyle w:val="1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color w:val="auto"/>
          <w:sz w:val="21"/>
          <w:szCs w:val="21"/>
          <w:highlight w:val="none"/>
        </w:rPr>
      </w:pPr>
      <w:r>
        <w:rPr>
          <w:rFonts w:hint="eastAsia" w:ascii="华文仿宋" w:hAnsi="华文仿宋" w:eastAsia="华文仿宋" w:cs="华文仿宋"/>
          <w:color w:val="auto"/>
          <w:sz w:val="21"/>
          <w:szCs w:val="21"/>
          <w:highlight w:val="none"/>
        </w:rPr>
        <w:t>（二）合同总价已包含但不限于乙方为提供服务所产生的全部成本、预期利益、售后服务、税费和合同中规定乙方应承担的其他义务的费用等。</w:t>
      </w:r>
    </w:p>
    <w:p w14:paraId="2D87B4C7">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color w:val="auto"/>
          <w:sz w:val="21"/>
          <w:szCs w:val="21"/>
          <w:highlight w:val="none"/>
        </w:rPr>
      </w:pPr>
      <w:r>
        <w:rPr>
          <w:rFonts w:hint="eastAsia" w:ascii="华文仿宋" w:hAnsi="华文仿宋" w:eastAsia="华文仿宋" w:cs="华文仿宋"/>
          <w:color w:val="auto"/>
          <w:sz w:val="21"/>
          <w:szCs w:val="21"/>
          <w:highlight w:val="none"/>
        </w:rPr>
        <w:t>（三）合同总价一次性包死，不受市场价格变化因素的影响。</w:t>
      </w:r>
    </w:p>
    <w:p w14:paraId="18CE4699">
      <w:pPr>
        <w:keepNext w:val="0"/>
        <w:keepLines w:val="0"/>
        <w:pageBreakBefore w:val="0"/>
        <w:widowControl w:val="0"/>
        <w:tabs>
          <w:tab w:val="left" w:pos="480"/>
        </w:tabs>
        <w:kinsoku/>
        <w:wordWrap/>
        <w:overflowPunct/>
        <w:topLinePunct w:val="0"/>
        <w:autoSpaceDE/>
        <w:autoSpaceDN/>
        <w:bidi w:val="0"/>
        <w:adjustRightInd/>
        <w:spacing w:line="360" w:lineRule="auto"/>
        <w:ind w:firstLine="340" w:firstLineChars="200"/>
        <w:textAlignment w:val="auto"/>
        <w:rPr>
          <w:rFonts w:hint="eastAsia" w:ascii="华文仿宋" w:hAnsi="华文仿宋" w:eastAsia="华文仿宋" w:cs="华文仿宋"/>
          <w:b/>
          <w:color w:val="auto"/>
          <w:spacing w:val="-20"/>
          <w:kern w:val="0"/>
          <w:sz w:val="21"/>
          <w:szCs w:val="21"/>
          <w:highlight w:val="none"/>
        </w:rPr>
      </w:pPr>
      <w:r>
        <w:rPr>
          <w:rFonts w:hint="eastAsia" w:ascii="华文仿宋" w:hAnsi="华文仿宋" w:eastAsia="华文仿宋" w:cs="华文仿宋"/>
          <w:b/>
          <w:color w:val="auto"/>
          <w:spacing w:val="-20"/>
          <w:kern w:val="0"/>
          <w:sz w:val="21"/>
          <w:szCs w:val="21"/>
          <w:highlight w:val="none"/>
        </w:rPr>
        <w:t>四、款项</w:t>
      </w:r>
      <w:r>
        <w:rPr>
          <w:rFonts w:hint="eastAsia" w:ascii="华文仿宋" w:hAnsi="华文仿宋" w:eastAsia="华文仿宋" w:cs="华文仿宋"/>
          <w:b/>
          <w:color w:val="auto"/>
          <w:sz w:val="21"/>
          <w:szCs w:val="21"/>
          <w:highlight w:val="none"/>
        </w:rPr>
        <w:t>支付、</w:t>
      </w:r>
      <w:r>
        <w:rPr>
          <w:rFonts w:hint="eastAsia" w:ascii="华文仿宋" w:hAnsi="华文仿宋" w:eastAsia="华文仿宋" w:cs="华文仿宋"/>
          <w:b/>
          <w:color w:val="auto"/>
          <w:spacing w:val="-20"/>
          <w:kern w:val="0"/>
          <w:sz w:val="21"/>
          <w:szCs w:val="21"/>
          <w:highlight w:val="none"/>
        </w:rPr>
        <w:t>结算</w:t>
      </w:r>
    </w:p>
    <w:p w14:paraId="42C167DD">
      <w:pPr>
        <w:keepNext w:val="0"/>
        <w:keepLines w:val="0"/>
        <w:pageBreakBefore w:val="0"/>
        <w:widowControl w:val="0"/>
        <w:tabs>
          <w:tab w:val="left" w:pos="480"/>
        </w:tabs>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bCs/>
          <w:color w:val="auto"/>
          <w:sz w:val="21"/>
          <w:szCs w:val="21"/>
          <w:highlight w:val="none"/>
          <w:lang w:val="en-US" w:eastAsia="zh-CN"/>
        </w:rPr>
      </w:pPr>
      <w:r>
        <w:rPr>
          <w:rFonts w:hint="eastAsia" w:ascii="华文仿宋" w:hAnsi="华文仿宋" w:eastAsia="华文仿宋" w:cs="华文仿宋"/>
          <w:color w:val="auto"/>
          <w:kern w:val="2"/>
          <w:sz w:val="21"/>
          <w:szCs w:val="21"/>
          <w:highlight w:val="none"/>
          <w:lang w:val="en-US" w:eastAsia="zh-CN" w:bidi="ar-SA"/>
        </w:rPr>
        <w:t>（1）分期结算，第一次结算乙方完成维修工作持首次验收单，自检报告、本合同、本合同金额的全额发票与甲方办理资金结算。第二次结算质保期结束后，持最终验收单、自检</w:t>
      </w:r>
      <w:r>
        <w:rPr>
          <w:rFonts w:hint="eastAsia" w:ascii="华文仿宋" w:hAnsi="华文仿宋" w:eastAsia="华文仿宋" w:cs="华文仿宋"/>
          <w:bCs/>
          <w:color w:val="auto"/>
          <w:sz w:val="21"/>
          <w:szCs w:val="21"/>
          <w:highlight w:val="none"/>
          <w:lang w:val="en-US" w:eastAsia="zh-CN"/>
        </w:rPr>
        <w:t xml:space="preserve">报告、本合同与甲方办理资金结算。           </w:t>
      </w:r>
    </w:p>
    <w:p w14:paraId="78C20DBA">
      <w:pPr>
        <w:keepNext w:val="0"/>
        <w:keepLines w:val="0"/>
        <w:pageBreakBefore w:val="0"/>
        <w:widowControl w:val="0"/>
        <w:tabs>
          <w:tab w:val="left" w:pos="480"/>
        </w:tabs>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bCs/>
          <w:color w:val="auto"/>
          <w:sz w:val="21"/>
          <w:szCs w:val="21"/>
          <w:highlight w:val="none"/>
          <w:lang w:val="en-US" w:eastAsia="zh-CN"/>
        </w:rPr>
      </w:pPr>
      <w:r>
        <w:rPr>
          <w:rFonts w:hint="eastAsia" w:ascii="华文仿宋" w:hAnsi="华文仿宋" w:eastAsia="华文仿宋" w:cs="华文仿宋"/>
          <w:bCs/>
          <w:color w:val="auto"/>
          <w:sz w:val="21"/>
          <w:szCs w:val="21"/>
          <w:highlight w:val="none"/>
          <w:lang w:val="en-US" w:eastAsia="zh-CN"/>
        </w:rPr>
        <w:t>（2）支付：分期支付：第一次结算之后</w:t>
      </w:r>
      <w:r>
        <w:rPr>
          <w:rFonts w:hint="eastAsia" w:ascii="华文仿宋" w:hAnsi="华文仿宋" w:eastAsia="华文仿宋" w:cs="华文仿宋"/>
          <w:bCs/>
          <w:color w:val="auto"/>
          <w:sz w:val="21"/>
          <w:szCs w:val="21"/>
          <w:highlight w:val="none"/>
        </w:rPr>
        <w:t>60日内</w:t>
      </w:r>
      <w:r>
        <w:rPr>
          <w:rFonts w:hint="eastAsia" w:ascii="华文仿宋" w:hAnsi="华文仿宋" w:eastAsia="华文仿宋" w:cs="华文仿宋"/>
          <w:bCs/>
          <w:color w:val="auto"/>
          <w:sz w:val="21"/>
          <w:szCs w:val="21"/>
          <w:highlight w:val="none"/>
          <w:lang w:val="en-US" w:eastAsia="zh-CN"/>
        </w:rPr>
        <w:t>支付合同金额的90%；第二次结算之后</w:t>
      </w:r>
      <w:r>
        <w:rPr>
          <w:rFonts w:hint="eastAsia" w:ascii="华文仿宋" w:hAnsi="华文仿宋" w:eastAsia="华文仿宋" w:cs="华文仿宋"/>
          <w:bCs/>
          <w:color w:val="auto"/>
          <w:sz w:val="21"/>
          <w:szCs w:val="21"/>
          <w:highlight w:val="none"/>
        </w:rPr>
        <w:t>60日内</w:t>
      </w:r>
      <w:r>
        <w:rPr>
          <w:rFonts w:hint="eastAsia" w:ascii="华文仿宋" w:hAnsi="华文仿宋" w:eastAsia="华文仿宋" w:cs="华文仿宋"/>
          <w:bCs/>
          <w:color w:val="auto"/>
          <w:sz w:val="21"/>
          <w:szCs w:val="21"/>
          <w:highlight w:val="none"/>
          <w:lang w:val="en-US" w:eastAsia="zh-CN"/>
        </w:rPr>
        <w:t>支付合同金额的10% 。</w:t>
      </w:r>
    </w:p>
    <w:p w14:paraId="55A82CAD">
      <w:pPr>
        <w:keepNext w:val="0"/>
        <w:keepLines w:val="0"/>
        <w:pageBreakBefore w:val="0"/>
        <w:widowControl w:val="0"/>
        <w:tabs>
          <w:tab w:val="left" w:pos="480"/>
        </w:tabs>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Cs/>
          <w:color w:val="auto"/>
          <w:sz w:val="21"/>
          <w:szCs w:val="21"/>
        </w:rPr>
        <w:t>（二）结算：每期付款时，</w:t>
      </w:r>
      <w:r>
        <w:rPr>
          <w:rFonts w:hint="eastAsia" w:ascii="华文仿宋" w:hAnsi="华文仿宋" w:eastAsia="华文仿宋" w:cs="华文仿宋"/>
          <w:color w:val="auto"/>
          <w:sz w:val="21"/>
          <w:szCs w:val="21"/>
        </w:rPr>
        <w:t>持</w:t>
      </w:r>
      <w:r>
        <w:rPr>
          <w:rFonts w:hint="eastAsia" w:ascii="华文仿宋" w:hAnsi="华文仿宋" w:eastAsia="华文仿宋" w:cs="华文仿宋"/>
          <w:bCs/>
          <w:color w:val="auto"/>
          <w:sz w:val="21"/>
          <w:szCs w:val="21"/>
        </w:rPr>
        <w:t>政府采购项目验收</w:t>
      </w:r>
      <w:r>
        <w:rPr>
          <w:rFonts w:hint="eastAsia" w:ascii="华文仿宋" w:hAnsi="华文仿宋" w:eastAsia="华文仿宋" w:cs="华文仿宋"/>
          <w:color w:val="auto"/>
          <w:sz w:val="21"/>
          <w:szCs w:val="21"/>
        </w:rPr>
        <w:t>合格单</w:t>
      </w:r>
      <w:r>
        <w:rPr>
          <w:rFonts w:hint="eastAsia" w:ascii="华文仿宋" w:hAnsi="华文仿宋" w:eastAsia="华文仿宋" w:cs="华文仿宋"/>
          <w:bCs/>
          <w:color w:val="auto"/>
          <w:sz w:val="21"/>
          <w:szCs w:val="21"/>
        </w:rPr>
        <w:t>（一式两份）</w:t>
      </w:r>
      <w:r>
        <w:rPr>
          <w:rFonts w:hint="eastAsia" w:ascii="华文仿宋" w:hAnsi="华文仿宋" w:eastAsia="华文仿宋" w:cs="华文仿宋"/>
          <w:bCs/>
          <w:color w:val="auto"/>
          <w:sz w:val="21"/>
          <w:szCs w:val="21"/>
          <w:lang w:eastAsia="zh-CN"/>
        </w:rPr>
        <w:t>及结算付款要求的相关资料</w:t>
      </w:r>
      <w:r>
        <w:rPr>
          <w:rFonts w:hint="eastAsia" w:ascii="华文仿宋" w:hAnsi="华文仿宋" w:eastAsia="华文仿宋" w:cs="华文仿宋"/>
          <w:bCs/>
          <w:color w:val="auto"/>
          <w:sz w:val="21"/>
          <w:szCs w:val="21"/>
        </w:rPr>
        <w:t>到甲方办理资金结算。</w:t>
      </w:r>
    </w:p>
    <w:p w14:paraId="10CF8005">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华文仿宋" w:hAnsi="华文仿宋" w:eastAsia="华文仿宋" w:cs="华文仿宋"/>
          <w:bCs/>
          <w:color w:val="auto"/>
          <w:sz w:val="21"/>
          <w:szCs w:val="21"/>
          <w:lang w:val="zh-CN"/>
        </w:rPr>
      </w:pPr>
      <w:r>
        <w:rPr>
          <w:rFonts w:hint="eastAsia" w:ascii="华文仿宋" w:hAnsi="华文仿宋" w:eastAsia="华文仿宋" w:cs="华文仿宋"/>
          <w:color w:val="auto"/>
          <w:sz w:val="21"/>
          <w:szCs w:val="21"/>
        </w:rPr>
        <w:t>（三）付款方式：银行转账</w:t>
      </w:r>
      <w:r>
        <w:rPr>
          <w:rFonts w:hint="eastAsia" w:ascii="华文仿宋" w:hAnsi="华文仿宋" w:eastAsia="华文仿宋" w:cs="华文仿宋"/>
          <w:bCs/>
          <w:color w:val="auto"/>
          <w:sz w:val="21"/>
          <w:szCs w:val="21"/>
          <w:lang w:val="zh-CN"/>
        </w:rPr>
        <w:t>将款项转入乙方银行账户。乙方银行账户信息如下：</w:t>
      </w:r>
    </w:p>
    <w:p w14:paraId="24FA9C1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bCs/>
          <w:color w:val="auto"/>
          <w:sz w:val="21"/>
          <w:szCs w:val="21"/>
          <w:u w:val="single"/>
          <w:lang w:val="zh-CN"/>
        </w:rPr>
      </w:pPr>
      <w:r>
        <w:rPr>
          <w:rFonts w:hint="eastAsia" w:ascii="华文仿宋" w:hAnsi="华文仿宋" w:eastAsia="华文仿宋" w:cs="华文仿宋"/>
          <w:b/>
          <w:bCs/>
          <w:color w:val="auto"/>
          <w:sz w:val="21"/>
          <w:szCs w:val="21"/>
          <w:lang w:val="zh-CN"/>
        </w:rPr>
        <w:t>账户全称：</w:t>
      </w:r>
    </w:p>
    <w:p w14:paraId="32FECD36">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bCs/>
          <w:color w:val="auto"/>
          <w:sz w:val="21"/>
          <w:szCs w:val="21"/>
          <w:u w:val="single"/>
        </w:rPr>
      </w:pPr>
      <w:r>
        <w:rPr>
          <w:rFonts w:hint="eastAsia" w:ascii="华文仿宋" w:hAnsi="华文仿宋" w:eastAsia="华文仿宋" w:cs="华文仿宋"/>
          <w:b/>
          <w:bCs/>
          <w:color w:val="auto"/>
          <w:sz w:val="21"/>
          <w:szCs w:val="21"/>
          <w:lang w:val="zh-CN"/>
        </w:rPr>
        <w:t>账    号：</w:t>
      </w:r>
    </w:p>
    <w:p w14:paraId="3827F316">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bCs/>
          <w:color w:val="auto"/>
          <w:sz w:val="21"/>
          <w:szCs w:val="21"/>
          <w:u w:val="single"/>
          <w:lang w:val="zh-CN"/>
        </w:rPr>
      </w:pPr>
      <w:r>
        <w:rPr>
          <w:rFonts w:hint="eastAsia" w:ascii="华文仿宋" w:hAnsi="华文仿宋" w:eastAsia="华文仿宋" w:cs="华文仿宋"/>
          <w:b/>
          <w:bCs/>
          <w:color w:val="auto"/>
          <w:sz w:val="21"/>
          <w:szCs w:val="21"/>
          <w:lang w:val="zh-CN"/>
        </w:rPr>
        <w:t>开 户 行：</w:t>
      </w:r>
    </w:p>
    <w:p w14:paraId="00E5F1E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bCs/>
          <w:color w:val="auto"/>
          <w:sz w:val="21"/>
          <w:szCs w:val="21"/>
          <w:lang w:val="zh-CN"/>
        </w:rPr>
      </w:pPr>
      <w:r>
        <w:rPr>
          <w:rFonts w:hint="eastAsia" w:ascii="华文仿宋" w:hAnsi="华文仿宋" w:eastAsia="华文仿宋" w:cs="华文仿宋"/>
          <w:b/>
          <w:bCs/>
          <w:color w:val="auto"/>
          <w:sz w:val="21"/>
          <w:szCs w:val="21"/>
          <w:u w:val="single"/>
          <w:lang w:val="zh-CN"/>
        </w:rPr>
        <w:t>甲方仅认可上述指定账户并向该账户付款。甲方有权拒绝向指定账户之外的任何账户付款，并且由此导致的付款延迟责任由乙方承担。</w:t>
      </w:r>
    </w:p>
    <w:p w14:paraId="1B2ADC65">
      <w:pPr>
        <w:pStyle w:val="2"/>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lang w:eastAsia="zh-CN"/>
        </w:rPr>
      </w:pPr>
      <w:r>
        <w:rPr>
          <w:rFonts w:hint="eastAsia" w:ascii="华文仿宋" w:hAnsi="华文仿宋" w:eastAsia="华文仿宋" w:cs="华文仿宋"/>
          <w:color w:val="auto"/>
          <w:sz w:val="21"/>
          <w:szCs w:val="21"/>
        </w:rPr>
        <w:t>乙方要如实开具发票，乙方开具发票出现税务争议的，乙方应承担税款、滞纳金、罚款等赔偿责任以及其他相关责任。</w:t>
      </w:r>
    </w:p>
    <w:p w14:paraId="00624921">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（四）履约保证金：乙方在合同签订前向甲方指定账户交纳履约保证金，为合同总价款5%，即人民币(大写)</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u w:val="single"/>
          <w:lang w:val="en-US" w:eastAsia="zh-CN"/>
        </w:rPr>
        <w:t>/</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u w:val="single"/>
        </w:rPr>
        <w:t xml:space="preserve">     元整</w:t>
      </w:r>
      <w:r>
        <w:rPr>
          <w:rFonts w:hint="eastAsia" w:ascii="华文仿宋" w:hAnsi="华文仿宋" w:eastAsia="华文仿宋" w:cs="华文仿宋"/>
          <w:color w:val="auto"/>
          <w:sz w:val="21"/>
          <w:szCs w:val="21"/>
        </w:rPr>
        <w:t xml:space="preserve"> (</w:t>
      </w:r>
      <w:r>
        <w:rPr>
          <w:rFonts w:hint="eastAsia" w:ascii="华文仿宋" w:hAnsi="华文仿宋" w:eastAsia="华文仿宋" w:cs="华文仿宋"/>
          <w:color w:val="auto"/>
          <w:sz w:val="21"/>
          <w:szCs w:val="21"/>
          <w:u w:val="single"/>
        </w:rPr>
        <w:t xml:space="preserve"> ¥   </w:t>
      </w:r>
      <w:r>
        <w:rPr>
          <w:rFonts w:hint="eastAsia" w:ascii="华文仿宋" w:hAnsi="华文仿宋" w:eastAsia="华文仿宋" w:cs="华文仿宋"/>
          <w:color w:val="auto"/>
          <w:sz w:val="21"/>
          <w:szCs w:val="21"/>
          <w:u w:val="single"/>
          <w:lang w:val="en-US" w:eastAsia="zh-CN"/>
        </w:rPr>
        <w:t>/</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rPr>
        <w:t>元)。质保期限届满后，在扣除相关款项后（若有），剩余部分无息返还。</w:t>
      </w:r>
    </w:p>
    <w:p w14:paraId="0BB29A7C">
      <w:pPr>
        <w:keepNext w:val="0"/>
        <w:keepLines w:val="0"/>
        <w:pageBreakBefore w:val="0"/>
        <w:widowControl w:val="0"/>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五、双方的权利和义务</w:t>
      </w:r>
    </w:p>
    <w:p w14:paraId="6D4FD5B3">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（一）甲方的权利和义务</w:t>
      </w:r>
    </w:p>
    <w:p w14:paraId="2C255C67">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1.甲方有权对乙方的服务等成果进行监督核查；甲方认为服务不达标的（包括但不限于被投诉、满意度低于</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rPr>
        <w:t>等），有权下达整改通知书，乙方应在接到通知书</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rPr>
        <w:t>日内整改合格。</w:t>
      </w:r>
    </w:p>
    <w:p w14:paraId="04B609BE">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2.甲方依据本合同的约定及乙方的服务报告单、服务满意度等结果，向乙方支付款项。</w:t>
      </w:r>
    </w:p>
    <w:p w14:paraId="16298673">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3.甲方有权对乙方的服务进行满意度测评，满意度   %为合格；低于   %，甲方可从未支付款项中扣除合同总金额的  ‰/次,且可累加扣除。</w:t>
      </w:r>
    </w:p>
    <w:p w14:paraId="7390AA4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color w:val="auto"/>
          <w:sz w:val="21"/>
          <w:szCs w:val="21"/>
        </w:rPr>
        <w:t>4.</w:t>
      </w:r>
      <w:r>
        <w:rPr>
          <w:rFonts w:hint="eastAsia" w:ascii="华文仿宋" w:hAnsi="华文仿宋" w:eastAsia="华文仿宋" w:cs="华文仿宋"/>
          <w:b/>
          <w:color w:val="auto"/>
          <w:sz w:val="21"/>
          <w:szCs w:val="21"/>
        </w:rPr>
        <w:t>其他条款。（参照招标、投标文件条款）</w:t>
      </w:r>
    </w:p>
    <w:p w14:paraId="02069C60">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（二）乙方的权利和义务</w:t>
      </w:r>
    </w:p>
    <w:p w14:paraId="6B22D65D">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1</w:t>
      </w:r>
      <w:r>
        <w:rPr>
          <w:rFonts w:hint="eastAsia" w:ascii="华文仿宋" w:hAnsi="华文仿宋" w:eastAsia="华文仿宋" w:cs="华文仿宋"/>
          <w:color w:val="auto"/>
          <w:sz w:val="21"/>
          <w:szCs w:val="21"/>
          <w:lang w:eastAsia="zh-CN"/>
        </w:rPr>
        <w:t>.</w:t>
      </w:r>
      <w:r>
        <w:rPr>
          <w:rFonts w:hint="eastAsia" w:ascii="华文仿宋" w:hAnsi="华文仿宋" w:eastAsia="华文仿宋" w:cs="华文仿宋"/>
          <w:color w:val="auto"/>
          <w:sz w:val="21"/>
          <w:szCs w:val="21"/>
        </w:rPr>
        <w:t>乙方的服务应及时有效，不得影响患者就诊；乙方应全力配合甲方的工作。</w:t>
      </w:r>
    </w:p>
    <w:p w14:paraId="60B8A737">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2.</w:t>
      </w:r>
      <w:r>
        <w:rPr>
          <w:rFonts w:hint="eastAsia" w:ascii="华文仿宋" w:hAnsi="华文仿宋" w:eastAsia="华文仿宋" w:cs="华文仿宋"/>
          <w:color w:val="auto"/>
          <w:sz w:val="21"/>
          <w:szCs w:val="21"/>
          <w:lang w:val="en-US" w:eastAsia="zh-CN"/>
        </w:rPr>
        <w:t>乙方</w:t>
      </w:r>
      <w:r>
        <w:rPr>
          <w:rFonts w:hint="eastAsia" w:ascii="仿宋_GB2312" w:hAnsi="仿宋_GB2312" w:eastAsia="仿宋_GB2312" w:cs="仿宋_GB2312"/>
          <w:color w:val="auto"/>
          <w:sz w:val="21"/>
          <w:szCs w:val="21"/>
          <w:lang w:val="en-US" w:eastAsia="zh-CN"/>
        </w:rPr>
        <w:t>应免费提供每周7天，24小时不间断的电话支持服务，解答甲方在使用过程中遇到的问题；乙方电话响应时间应小于2小时、到达现场时间不超过24小时，解决问题时间不超过48小时。</w:t>
      </w:r>
    </w:p>
    <w:p w14:paraId="6FCE9437">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3.乙方对甲方突发公共卫生事件及各项应急预案应积极响应并派员配合协助，不得拒绝推诿。</w:t>
      </w:r>
    </w:p>
    <w:p w14:paraId="72A2D677">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4.及时向甲方通告本项目服务范围内有关服务的重大事项，及时配合处理投诉。</w:t>
      </w:r>
    </w:p>
    <w:p w14:paraId="2FC07F78">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5.乙方的服务多次（3次及以上）不能达到本合同的约定及甲方的要求，甲方有权指定第三方服务，服务费用由乙方承担，或从履约保证金中扣除，履约保证金不足以支付全部维修费用的，由乙方另行支付。</w:t>
      </w:r>
    </w:p>
    <w:p w14:paraId="5466449D">
      <w:pPr>
        <w:keepNext w:val="0"/>
        <w:keepLines w:val="0"/>
        <w:pageBreakBefore w:val="0"/>
        <w:widowControl w:val="0"/>
        <w:tabs>
          <w:tab w:val="left" w:pos="480"/>
        </w:tabs>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6. 乙方所供服务必须做到服务方案和方式科学、可行，人员配置合理，全面满足要求。符合国家有关服务规范要求，确保各项服务达到最佳运行效果。</w:t>
      </w:r>
    </w:p>
    <w:p w14:paraId="3E413A3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7.乙方提供的服务，若发生侵权而产生的一切后果，由乙方负责。甲方保留索赔权力。</w:t>
      </w:r>
    </w:p>
    <w:p w14:paraId="3FAAD833">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
          <w:color w:val="auto"/>
          <w:sz w:val="21"/>
          <w:szCs w:val="21"/>
        </w:rPr>
        <w:t>8.服务承诺内容。</w:t>
      </w:r>
    </w:p>
    <w:p w14:paraId="19A0864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
          <w:color w:val="auto"/>
          <w:sz w:val="21"/>
          <w:szCs w:val="21"/>
        </w:rPr>
        <w:t>9.双方拟定的其他条款。</w:t>
      </w:r>
    </w:p>
    <w:p w14:paraId="06390F2A">
      <w:pPr>
        <w:pStyle w:val="2"/>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国家法律、法规等规定的应</w:t>
      </w:r>
      <w:bookmarkStart w:id="0" w:name="_GoBack"/>
      <w:bookmarkEnd w:id="0"/>
      <w:r>
        <w:rPr>
          <w:rFonts w:hint="eastAsia" w:ascii="华文仿宋" w:hAnsi="华文仿宋" w:eastAsia="华文仿宋" w:cs="华文仿宋"/>
          <w:color w:val="auto"/>
          <w:sz w:val="21"/>
          <w:szCs w:val="21"/>
        </w:rPr>
        <w:t>由乙方承担的其它责任。</w:t>
      </w:r>
    </w:p>
    <w:p w14:paraId="74137038">
      <w:pPr>
        <w:pStyle w:val="15"/>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lang w:eastAsia="zh-CN"/>
        </w:rPr>
      </w:pPr>
      <w:r>
        <w:rPr>
          <w:rFonts w:hint="eastAsia" w:ascii="华文仿宋" w:hAnsi="华文仿宋" w:eastAsia="华文仿宋" w:cs="华文仿宋"/>
          <w:color w:val="auto"/>
          <w:sz w:val="21"/>
          <w:szCs w:val="21"/>
        </w:rPr>
        <w:t>乙方按照招标、投标文件要求，向甲方提供的其他技术支持服务。</w:t>
      </w:r>
      <w:r>
        <w:rPr>
          <w:rFonts w:hint="eastAsia" w:ascii="华文仿宋" w:hAnsi="华文仿宋" w:eastAsia="华文仿宋" w:cs="华文仿宋"/>
          <w:b/>
          <w:color w:val="auto"/>
          <w:sz w:val="21"/>
          <w:szCs w:val="21"/>
        </w:rPr>
        <w:t>（由双方协商，必须填写）</w:t>
      </w:r>
    </w:p>
    <w:p w14:paraId="30DB3CBB">
      <w:pPr>
        <w:keepNext w:val="0"/>
        <w:keepLines w:val="0"/>
        <w:pageBreakBefore w:val="0"/>
        <w:widowControl w:val="0"/>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六、验收</w:t>
      </w:r>
    </w:p>
    <w:p w14:paraId="6ACF8B56">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14:paraId="2D626771">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（二）乙方向甲方提交服务实施过程中的所有资料。以便甲方日后管理和维护。</w:t>
      </w:r>
    </w:p>
    <w:p w14:paraId="1D1B78C6">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（三）验收依据：</w:t>
      </w:r>
    </w:p>
    <w:p w14:paraId="11AB9F3B">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1、</w:t>
      </w:r>
      <w:r>
        <w:rPr>
          <w:rFonts w:hint="eastAsia" w:ascii="华文仿宋" w:hAnsi="华文仿宋" w:eastAsia="华文仿宋" w:cs="华文仿宋"/>
          <w:color w:val="auto"/>
          <w:sz w:val="21"/>
          <w:szCs w:val="21"/>
          <w:lang w:val="en-US" w:eastAsia="zh-CN"/>
        </w:rPr>
        <w:t>单一来源采购</w:t>
      </w:r>
      <w:r>
        <w:rPr>
          <w:rFonts w:hint="eastAsia" w:ascii="华文仿宋" w:hAnsi="华文仿宋" w:eastAsia="华文仿宋" w:cs="华文仿宋"/>
          <w:color w:val="auto"/>
          <w:sz w:val="21"/>
          <w:szCs w:val="21"/>
        </w:rPr>
        <w:t>文件、响应文件、澄清表（函）；</w:t>
      </w:r>
    </w:p>
    <w:p w14:paraId="3C4822EF">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2、本合同及附件文本（包括但不限于满意度调查表）；</w:t>
      </w:r>
    </w:p>
    <w:p w14:paraId="023746E3">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3、国家相应的标准、规范。</w:t>
      </w:r>
    </w:p>
    <w:p w14:paraId="0AB5C3C9">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b/>
          <w:color w:val="auto"/>
          <w:sz w:val="21"/>
          <w:szCs w:val="21"/>
        </w:rPr>
        <w:t>（四）双方拟定的其他条款。</w:t>
      </w:r>
    </w:p>
    <w:p w14:paraId="20623505">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七、违约责任</w:t>
      </w:r>
    </w:p>
    <w:p w14:paraId="799C76BA">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（一）按《民法典》中的相关条款执行。</w:t>
      </w:r>
    </w:p>
    <w:p w14:paraId="0194B85B">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（二）未按合同要求提供服务或服务质量不能满足合同要求，甲方有权依据《民法典》有关条款及合同约定终止合同，并要求乙方承担违约责任。</w:t>
      </w:r>
    </w:p>
    <w:p w14:paraId="2CFEDE98">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（三）在本合同履行过程中，双方因违约或造成对方经济等损失的应当赔偿。</w:t>
      </w:r>
    </w:p>
    <w:p w14:paraId="31588DCE">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（四）乙方提供的服务不符合本项目相关文件和本合同规定的，甲方有权拒绝，并且乙方须向甲方支付本合同总价款</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rPr>
        <w:t>%的违约金。</w:t>
      </w:r>
    </w:p>
    <w:p w14:paraId="4DF01B40">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（五）乙方未能按照本合同约定时间提供服务或完成约定的项目服务内容的，从逾期之日起每日按本合同总价款</w:t>
      </w:r>
      <w:r>
        <w:rPr>
          <w:rFonts w:hint="eastAsia" w:ascii="华文仿宋" w:hAnsi="华文仿宋" w:eastAsia="华文仿宋" w:cs="华文仿宋"/>
          <w:color w:val="auto"/>
          <w:sz w:val="21"/>
          <w:szCs w:val="21"/>
          <w:u w:val="single"/>
        </w:rPr>
        <w:t xml:space="preserve">  </w:t>
      </w:r>
      <w:r>
        <w:rPr>
          <w:rFonts w:hint="eastAsia" w:ascii="华文仿宋" w:hAnsi="华文仿宋" w:eastAsia="华文仿宋" w:cs="华文仿宋"/>
          <w:color w:val="auto"/>
          <w:sz w:val="21"/>
          <w:szCs w:val="21"/>
        </w:rPr>
        <w:t>%的数额向甲方支付违约金；逾期</w:t>
      </w:r>
      <w:r>
        <w:rPr>
          <w:rFonts w:hint="eastAsia" w:ascii="华文仿宋" w:hAnsi="华文仿宋" w:eastAsia="华文仿宋" w:cs="华文仿宋"/>
          <w:color w:val="auto"/>
          <w:sz w:val="21"/>
          <w:szCs w:val="21"/>
          <w:u w:val="single"/>
        </w:rPr>
        <w:t>10</w:t>
      </w:r>
      <w:r>
        <w:rPr>
          <w:rFonts w:hint="eastAsia" w:ascii="华文仿宋" w:hAnsi="华文仿宋" w:eastAsia="华文仿宋" w:cs="华文仿宋"/>
          <w:color w:val="auto"/>
          <w:sz w:val="21"/>
          <w:szCs w:val="21"/>
        </w:rPr>
        <w:t>日以上的，甲方有权终止合同，由此造成的甲方经济损失由乙方承担。</w:t>
      </w:r>
    </w:p>
    <w:p w14:paraId="3F003D3B">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（六）未经甲方同意，乙方不得擅自将本合同服务转包第三方承担。</w:t>
      </w:r>
    </w:p>
    <w:p w14:paraId="3128D5D4">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b/>
          <w:color w:val="auto"/>
          <w:sz w:val="21"/>
          <w:szCs w:val="21"/>
        </w:rPr>
        <w:t>（七）双方拟定的其他条款。</w:t>
      </w:r>
    </w:p>
    <w:p w14:paraId="1A6092E0">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八、保密条款</w:t>
      </w:r>
    </w:p>
    <w:p w14:paraId="03357D2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52CAD207">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559512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（三）本条款为独立条款，本合同的无效、变更、解除和终止均不影响本条款的效力。</w:t>
      </w:r>
    </w:p>
    <w:p w14:paraId="167E03F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
          <w:color w:val="auto"/>
          <w:sz w:val="21"/>
          <w:szCs w:val="21"/>
        </w:rPr>
        <w:t>（四）双方拟定的其他条款。</w:t>
      </w:r>
    </w:p>
    <w:p w14:paraId="15560B7D">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九、争议解决</w:t>
      </w:r>
    </w:p>
    <w:p w14:paraId="25E82EAB">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highlight w:val="cyan"/>
        </w:rPr>
      </w:pPr>
      <w:r>
        <w:rPr>
          <w:rFonts w:hint="eastAsia" w:ascii="华文仿宋" w:hAnsi="华文仿宋" w:eastAsia="华文仿宋" w:cs="华文仿宋"/>
          <w:color w:val="auto"/>
          <w:sz w:val="21"/>
          <w:szCs w:val="21"/>
        </w:rPr>
        <w:t>本合同在履行过程中发生的争议，由甲、乙双方当事人协商解决，协商不成的依法向甲方所在地人民法院起诉。</w:t>
      </w:r>
    </w:p>
    <w:p w14:paraId="2D8BD5FF">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
          <w:color w:val="auto"/>
          <w:sz w:val="21"/>
          <w:szCs w:val="21"/>
        </w:rPr>
        <w:t>十、关于送达的约定</w:t>
      </w:r>
    </w:p>
    <w:p w14:paraId="4058E591">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（一）本合同项下甲乙双方任何一方向对方发出的通知、信件、数据电文等，依据下列地址、联系人和通信终端送达。</w:t>
      </w:r>
    </w:p>
    <w:p w14:paraId="28D87562">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甲方联系人:XXX</w:t>
      </w:r>
    </w:p>
    <w:p w14:paraId="78A5E6F0">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联系电话:XXXXXXXXX</w:t>
      </w:r>
    </w:p>
    <w:p w14:paraId="676C1AD7">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联系地址:xxxxxxxxx，邮编:xxxxxx。</w:t>
      </w:r>
    </w:p>
    <w:p w14:paraId="6CE4B273">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甲方(□同意□不同意)接受电子文件送达，电子终端信息如下:</w:t>
      </w:r>
    </w:p>
    <w:p w14:paraId="1781D4CF">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移动电话:xxxxxxxxx，传真: xxx-xxxxxx，微信号:xxxxxxxxx，</w:t>
      </w:r>
    </w:p>
    <w:p w14:paraId="36D0F04F">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电子邮箱:xxx@xxx.com。</w:t>
      </w:r>
    </w:p>
    <w:p w14:paraId="03C3905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乙方联系人:xxx，</w:t>
      </w:r>
    </w:p>
    <w:p w14:paraId="4A75E8DE">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联系电话:xxxxxxxx，</w:t>
      </w:r>
    </w:p>
    <w:p w14:paraId="5383F971">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联系地址:xxxxxxxxx，邮编:xxxxxx。</w:t>
      </w:r>
    </w:p>
    <w:p w14:paraId="4A6A1AC7">
      <w:pPr>
        <w:keepNext w:val="0"/>
        <w:keepLines w:val="0"/>
        <w:pageBreakBefore w:val="0"/>
        <w:widowControl w:val="0"/>
        <w:kinsoku/>
        <w:wordWrap/>
        <w:overflowPunct/>
        <w:topLinePunct w:val="0"/>
        <w:bidi w:val="0"/>
        <w:spacing w:line="360" w:lineRule="auto"/>
        <w:ind w:left="840" w:leftChars="300"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乙方(□同意□不同意)接受电子文件送达，电子终端信息如下:移动电话:xxxxxxxxx，传真:xxx-xxxxxx，微信号:xxxxxxxxx，</w:t>
      </w:r>
    </w:p>
    <w:p w14:paraId="72EBA928">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电子邮箱:xxx@xxx.com。</w:t>
      </w:r>
    </w:p>
    <w:p w14:paraId="3C38429A">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(二)送达情形遵守民诉法规定。</w:t>
      </w:r>
    </w:p>
    <w:p w14:paraId="41C1C27A">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十一、合同变更</w:t>
      </w:r>
    </w:p>
    <w:p w14:paraId="4B72656A">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在合同的执行期内，双方均不得随意变更或解除合同。如因项目需求情况发生变化，需要项目变更的，应双方协商后签订项目变更协议（如双方变更事项不能达成一致的，仍按原合同履行，否则视为违约）。</w:t>
      </w:r>
    </w:p>
    <w:p w14:paraId="1844E7B4">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b/>
          <w:color w:val="auto"/>
          <w:spacing w:val="-20"/>
          <w:kern w:val="0"/>
          <w:sz w:val="21"/>
          <w:szCs w:val="21"/>
        </w:rPr>
      </w:pPr>
      <w:r>
        <w:rPr>
          <w:rFonts w:hint="eastAsia" w:ascii="华文仿宋" w:hAnsi="华文仿宋" w:eastAsia="华文仿宋" w:cs="华文仿宋"/>
          <w:b/>
          <w:color w:val="auto"/>
          <w:spacing w:val="-20"/>
          <w:kern w:val="0"/>
          <w:sz w:val="21"/>
          <w:szCs w:val="21"/>
        </w:rPr>
        <w:t>十二、合同生效</w:t>
      </w:r>
    </w:p>
    <w:p w14:paraId="2858270C">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本合同一</w:t>
      </w:r>
      <w:r>
        <w:rPr>
          <w:rFonts w:hint="eastAsia" w:ascii="华文仿宋" w:hAnsi="华文仿宋" w:eastAsia="华文仿宋" w:cs="华文仿宋"/>
          <w:color w:val="auto"/>
          <w:sz w:val="21"/>
          <w:szCs w:val="21"/>
          <w:lang w:eastAsia="zh-CN"/>
        </w:rPr>
        <w:t>式</w:t>
      </w:r>
      <w:r>
        <w:rPr>
          <w:rFonts w:hint="eastAsia" w:ascii="华文仿宋" w:hAnsi="华文仿宋" w:eastAsia="华文仿宋" w:cs="华文仿宋"/>
          <w:color w:val="auto"/>
          <w:sz w:val="21"/>
          <w:szCs w:val="21"/>
        </w:rPr>
        <w:t>捌份，甲方持</w:t>
      </w:r>
      <w:r>
        <w:rPr>
          <w:rFonts w:hint="eastAsia" w:ascii="华文仿宋" w:hAnsi="华文仿宋" w:eastAsia="华文仿宋" w:cs="华文仿宋"/>
          <w:color w:val="auto"/>
          <w:sz w:val="21"/>
          <w:szCs w:val="21"/>
          <w:u w:val="single"/>
        </w:rPr>
        <w:t>陆</w:t>
      </w:r>
      <w:r>
        <w:rPr>
          <w:rFonts w:hint="eastAsia" w:ascii="华文仿宋" w:hAnsi="华文仿宋" w:eastAsia="华文仿宋" w:cs="华文仿宋"/>
          <w:color w:val="auto"/>
          <w:sz w:val="21"/>
          <w:szCs w:val="21"/>
        </w:rPr>
        <w:t>份，乙方持</w:t>
      </w:r>
      <w:r>
        <w:rPr>
          <w:rFonts w:hint="eastAsia" w:ascii="华文仿宋" w:hAnsi="华文仿宋" w:eastAsia="华文仿宋" w:cs="华文仿宋"/>
          <w:color w:val="auto"/>
          <w:sz w:val="21"/>
          <w:szCs w:val="21"/>
          <w:u w:val="single"/>
          <w:lang w:eastAsia="zh-CN"/>
        </w:rPr>
        <w:t>贰</w:t>
      </w:r>
      <w:r>
        <w:rPr>
          <w:rFonts w:hint="eastAsia" w:ascii="华文仿宋" w:hAnsi="华文仿宋" w:eastAsia="华文仿宋" w:cs="华文仿宋"/>
          <w:color w:val="auto"/>
          <w:sz w:val="21"/>
          <w:szCs w:val="21"/>
        </w:rPr>
        <w:t>份，本合同甲、乙</w:t>
      </w:r>
      <w:r>
        <w:rPr>
          <w:rFonts w:hint="eastAsia" w:ascii="华文仿宋" w:hAnsi="华文仿宋" w:eastAsia="华文仿宋" w:cs="华文仿宋"/>
          <w:color w:val="auto"/>
          <w:sz w:val="21"/>
          <w:szCs w:val="21"/>
          <w:lang w:eastAsia="zh-CN"/>
        </w:rPr>
        <w:t>双</w:t>
      </w:r>
      <w:r>
        <w:rPr>
          <w:rFonts w:hint="eastAsia" w:ascii="华文仿宋" w:hAnsi="华文仿宋" w:eastAsia="华文仿宋" w:cs="华文仿宋"/>
          <w:color w:val="auto"/>
          <w:sz w:val="21"/>
          <w:szCs w:val="21"/>
        </w:rPr>
        <w:t>方签字盖章后生效，合同执行完毕后，自动失效（合同的服务承诺则长期有效）。</w:t>
      </w:r>
    </w:p>
    <w:p w14:paraId="03CF30FA">
      <w:pPr>
        <w:keepNext w:val="0"/>
        <w:keepLines w:val="0"/>
        <w:pageBreakBefore w:val="0"/>
        <w:widowControl w:val="0"/>
        <w:tabs>
          <w:tab w:val="left" w:pos="480"/>
        </w:tabs>
        <w:kinsoku/>
        <w:wordWrap/>
        <w:overflowPunct/>
        <w:topLinePunct w:val="0"/>
        <w:bidi w:val="0"/>
        <w:spacing w:line="360" w:lineRule="auto"/>
        <w:ind w:firstLine="34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b/>
          <w:color w:val="auto"/>
          <w:spacing w:val="-20"/>
          <w:kern w:val="0"/>
          <w:sz w:val="21"/>
          <w:szCs w:val="21"/>
        </w:rPr>
        <w:t>十三、其他事项</w:t>
      </w:r>
    </w:p>
    <w:p w14:paraId="7CB39BF8">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w:t>
      </w:r>
      <w:r>
        <w:rPr>
          <w:rFonts w:hint="eastAsia" w:ascii="华文仿宋" w:hAnsi="华文仿宋" w:eastAsia="华文仿宋" w:cs="华文仿宋"/>
          <w:color w:val="auto"/>
          <w:sz w:val="21"/>
          <w:szCs w:val="21"/>
          <w:lang w:eastAsia="zh-CN"/>
        </w:rPr>
        <w:t>一</w:t>
      </w:r>
      <w:r>
        <w:rPr>
          <w:rFonts w:hint="eastAsia" w:ascii="华文仿宋" w:hAnsi="华文仿宋" w:eastAsia="华文仿宋" w:cs="华文仿宋"/>
          <w:color w:val="auto"/>
          <w:sz w:val="21"/>
          <w:szCs w:val="21"/>
        </w:rPr>
        <w:t>）西安市财政局政府采购管理处在合同的履行期间以及履行期后，可以随时检查项目的执行情况，对采购标准、采购内容进行调查核实，并对发现的问题进行处理。</w:t>
      </w:r>
    </w:p>
    <w:p w14:paraId="6CEE036F">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w:t>
      </w:r>
      <w:r>
        <w:rPr>
          <w:rFonts w:hint="eastAsia" w:ascii="华文仿宋" w:hAnsi="华文仿宋" w:eastAsia="华文仿宋" w:cs="华文仿宋"/>
          <w:color w:val="auto"/>
          <w:sz w:val="21"/>
          <w:szCs w:val="21"/>
          <w:lang w:eastAsia="zh-CN"/>
        </w:rPr>
        <w:t>二</w:t>
      </w:r>
      <w:r>
        <w:rPr>
          <w:rFonts w:hint="eastAsia" w:ascii="华文仿宋" w:hAnsi="华文仿宋" w:eastAsia="华文仿宋" w:cs="华文仿宋"/>
          <w:color w:val="auto"/>
          <w:sz w:val="21"/>
          <w:szCs w:val="21"/>
        </w:rPr>
        <w:t>）</w:t>
      </w:r>
      <w:r>
        <w:rPr>
          <w:rFonts w:hint="eastAsia" w:ascii="华文仿宋" w:hAnsi="华文仿宋" w:eastAsia="华文仿宋" w:cs="华文仿宋"/>
          <w:color w:val="auto"/>
          <w:sz w:val="21"/>
          <w:szCs w:val="21"/>
          <w:lang w:eastAsia="zh-CN"/>
        </w:rPr>
        <w:t>单一来源采购文件</w:t>
      </w:r>
      <w:r>
        <w:rPr>
          <w:rFonts w:hint="eastAsia" w:ascii="华文仿宋" w:hAnsi="华文仿宋" w:eastAsia="华文仿宋" w:cs="华文仿宋"/>
          <w:color w:val="auto"/>
          <w:sz w:val="21"/>
          <w:szCs w:val="21"/>
        </w:rPr>
        <w:t>、响应文件、澄清表（函）、成交通知书、合同附件均成为合同不可分割的部分。</w:t>
      </w:r>
    </w:p>
    <w:p w14:paraId="713C337D">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color w:val="auto"/>
          <w:sz w:val="21"/>
          <w:szCs w:val="21"/>
        </w:rPr>
      </w:pPr>
      <w:r>
        <w:rPr>
          <w:rFonts w:hint="eastAsia" w:ascii="华文仿宋" w:hAnsi="华文仿宋" w:eastAsia="华文仿宋" w:cs="华文仿宋"/>
          <w:color w:val="auto"/>
          <w:sz w:val="21"/>
          <w:szCs w:val="21"/>
        </w:rPr>
        <w:t>（</w:t>
      </w:r>
      <w:r>
        <w:rPr>
          <w:rFonts w:hint="eastAsia" w:ascii="华文仿宋" w:hAnsi="华文仿宋" w:eastAsia="华文仿宋" w:cs="华文仿宋"/>
          <w:color w:val="auto"/>
          <w:sz w:val="21"/>
          <w:szCs w:val="21"/>
          <w:lang w:eastAsia="zh-CN"/>
        </w:rPr>
        <w:t>三</w:t>
      </w:r>
      <w:r>
        <w:rPr>
          <w:rFonts w:hint="eastAsia" w:ascii="华文仿宋" w:hAnsi="华文仿宋" w:eastAsia="华文仿宋" w:cs="华文仿宋"/>
          <w:color w:val="auto"/>
          <w:sz w:val="21"/>
          <w:szCs w:val="21"/>
        </w:rPr>
        <w:t>）合同未尽事宜，由甲、乙双方协商签订政府采购补充合同，与原合同具有同等法律效力。</w:t>
      </w:r>
    </w:p>
    <w:p w14:paraId="689E43EA">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r>
        <w:rPr>
          <w:rFonts w:hint="eastAsia" w:ascii="华文仿宋" w:hAnsi="华文仿宋" w:eastAsia="华文仿宋" w:cs="华文仿宋"/>
          <w:b/>
          <w:color w:val="auto"/>
          <w:sz w:val="21"/>
          <w:szCs w:val="21"/>
        </w:rPr>
        <w:t>（最后再次提醒：第二、三、四项内容必须与</w:t>
      </w:r>
      <w:r>
        <w:rPr>
          <w:rFonts w:hint="eastAsia" w:ascii="华文仿宋" w:hAnsi="华文仿宋" w:eastAsia="华文仿宋" w:cs="华文仿宋"/>
          <w:b/>
          <w:color w:val="auto"/>
          <w:sz w:val="21"/>
          <w:szCs w:val="21"/>
          <w:lang w:val="en-US" w:eastAsia="zh-CN"/>
        </w:rPr>
        <w:t>单一来源采购</w:t>
      </w:r>
      <w:r>
        <w:rPr>
          <w:rFonts w:hint="eastAsia" w:ascii="华文仿宋" w:hAnsi="华文仿宋" w:eastAsia="华文仿宋" w:cs="华文仿宋"/>
          <w:b/>
          <w:color w:val="auto"/>
          <w:sz w:val="21"/>
          <w:szCs w:val="21"/>
        </w:rPr>
        <w:t>文件对应条款及响应文件响应条款一致，第五至第九项优先按照</w:t>
      </w:r>
      <w:r>
        <w:rPr>
          <w:rFonts w:hint="eastAsia" w:ascii="华文仿宋" w:hAnsi="华文仿宋" w:eastAsia="华文仿宋" w:cs="华文仿宋"/>
          <w:b/>
          <w:color w:val="auto"/>
          <w:sz w:val="21"/>
          <w:szCs w:val="21"/>
          <w:lang w:val="en-US" w:eastAsia="zh-CN"/>
        </w:rPr>
        <w:t>单一来源采购</w:t>
      </w:r>
      <w:r>
        <w:rPr>
          <w:rFonts w:hint="eastAsia" w:ascii="华文仿宋" w:hAnsi="华文仿宋" w:eastAsia="华文仿宋" w:cs="华文仿宋"/>
          <w:b/>
          <w:color w:val="auto"/>
          <w:sz w:val="21"/>
          <w:szCs w:val="21"/>
        </w:rPr>
        <w:t>文件对应条款拟定，若投标响应内容优于</w:t>
      </w:r>
      <w:r>
        <w:rPr>
          <w:rFonts w:hint="eastAsia" w:ascii="华文仿宋" w:hAnsi="华文仿宋" w:eastAsia="华文仿宋" w:cs="华文仿宋"/>
          <w:b/>
          <w:color w:val="auto"/>
          <w:sz w:val="21"/>
          <w:szCs w:val="21"/>
          <w:lang w:val="en-US" w:eastAsia="zh-CN"/>
        </w:rPr>
        <w:t>单一来源采购</w:t>
      </w:r>
      <w:r>
        <w:rPr>
          <w:rFonts w:hint="eastAsia" w:ascii="华文仿宋" w:hAnsi="华文仿宋" w:eastAsia="华文仿宋" w:cs="华文仿宋"/>
          <w:b/>
          <w:color w:val="auto"/>
          <w:sz w:val="21"/>
          <w:szCs w:val="21"/>
        </w:rPr>
        <w:t>文件的按投标内容拟定，同时甲乙双方可协商补充内容，但必须优于</w:t>
      </w:r>
      <w:r>
        <w:rPr>
          <w:rFonts w:hint="eastAsia" w:ascii="华文仿宋" w:hAnsi="华文仿宋" w:eastAsia="华文仿宋" w:cs="华文仿宋"/>
          <w:b/>
          <w:color w:val="auto"/>
          <w:sz w:val="21"/>
          <w:szCs w:val="21"/>
          <w:lang w:val="en-US" w:eastAsia="zh-CN"/>
        </w:rPr>
        <w:t>单一来源采购</w:t>
      </w:r>
      <w:r>
        <w:rPr>
          <w:rFonts w:hint="eastAsia" w:ascii="华文仿宋" w:hAnsi="华文仿宋" w:eastAsia="华文仿宋" w:cs="华文仿宋"/>
          <w:b/>
          <w:color w:val="auto"/>
          <w:sz w:val="21"/>
          <w:szCs w:val="21"/>
        </w:rPr>
        <w:t>文件要求和响应文件响应内容，第十至十三项内容在不改变模板内容前提下甲乙双方可协商增加内容，若甲乙双方协商有除上述条款之外的其他条款请插入合理位置，同时注意调整序号。）</w:t>
      </w:r>
    </w:p>
    <w:p w14:paraId="7E85C9F5">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p>
    <w:p w14:paraId="0B599037">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p>
    <w:p w14:paraId="13465CAB">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p>
    <w:p w14:paraId="1986D472">
      <w:pPr>
        <w:keepNext w:val="0"/>
        <w:keepLines w:val="0"/>
        <w:pageBreakBefore w:val="0"/>
        <w:widowControl w:val="0"/>
        <w:kinsoku/>
        <w:wordWrap/>
        <w:overflowPunct/>
        <w:topLinePunct w:val="0"/>
        <w:bidi w:val="0"/>
        <w:spacing w:line="360" w:lineRule="auto"/>
        <w:ind w:firstLine="420" w:firstLineChars="200"/>
        <w:textAlignment w:val="auto"/>
        <w:rPr>
          <w:rFonts w:hint="eastAsia" w:ascii="华文仿宋" w:hAnsi="华文仿宋" w:eastAsia="华文仿宋" w:cs="华文仿宋"/>
          <w:b/>
          <w:color w:val="auto"/>
          <w:sz w:val="21"/>
          <w:szCs w:val="21"/>
        </w:rPr>
      </w:pPr>
    </w:p>
    <w:tbl>
      <w:tblPr>
        <w:tblStyle w:val="18"/>
        <w:tblW w:w="891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6"/>
        <w:gridCol w:w="4663"/>
      </w:tblGrid>
      <w:tr w14:paraId="013BA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5C838FDD">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甲  方</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3925EF30">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center"/>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乙  方</w:t>
            </w:r>
          </w:p>
        </w:tc>
      </w:tr>
      <w:tr w14:paraId="45E61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126A329D">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both"/>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西安市第九医院</w:t>
            </w:r>
          </w:p>
          <w:p w14:paraId="70BC0B0A">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both"/>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（盖章）</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768A6AE7">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both"/>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成交供应商全称</w:t>
            </w:r>
          </w:p>
          <w:p w14:paraId="4FA68A91">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both"/>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（盖章）</w:t>
            </w:r>
          </w:p>
        </w:tc>
      </w:tr>
      <w:tr w14:paraId="3DD87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49D4234D">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 xml:space="preserve">地址： </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153EE76E">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地址：</w:t>
            </w:r>
          </w:p>
        </w:tc>
      </w:tr>
      <w:tr w14:paraId="412D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5D670330">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邮编：</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039057C9">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邮编：</w:t>
            </w:r>
          </w:p>
        </w:tc>
      </w:tr>
      <w:tr w14:paraId="1686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3D50F368">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 xml:space="preserve">承办人： </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1463D8E3">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法定代表人：</w:t>
            </w:r>
          </w:p>
        </w:tc>
      </w:tr>
      <w:tr w14:paraId="12A35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673F54C4">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法定代表人或委托代理人</w:t>
            </w:r>
          </w:p>
          <w:p w14:paraId="0668CBBF">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（主管院长）：</w:t>
            </w:r>
            <w:r>
              <w:rPr>
                <w:rFonts w:hint="eastAsia" w:ascii="华文仿宋" w:hAnsi="华文仿宋" w:eastAsia="华文仿宋" w:cs="华文仿宋"/>
                <w:color w:val="auto"/>
                <w:spacing w:val="-20"/>
                <w:kern w:val="0"/>
                <w:sz w:val="21"/>
                <w:szCs w:val="21"/>
                <w:lang w:val="en-US" w:eastAsia="zh-CN"/>
              </w:rPr>
              <w:t xml:space="preserve">                  </w:t>
            </w:r>
            <w:r>
              <w:rPr>
                <w:rFonts w:hint="eastAsia" w:ascii="华文仿宋" w:hAnsi="华文仿宋" w:eastAsia="华文仿宋" w:cs="华文仿宋"/>
                <w:color w:val="auto"/>
                <w:spacing w:val="-20"/>
                <w:kern w:val="0"/>
                <w:sz w:val="21"/>
                <w:szCs w:val="21"/>
              </w:rPr>
              <w:t>（签字）</w:t>
            </w:r>
            <w:r>
              <w:rPr>
                <w:rFonts w:hint="eastAsia" w:ascii="华文仿宋" w:hAnsi="华文仿宋" w:eastAsia="华文仿宋" w:cs="华文仿宋"/>
                <w:color w:val="auto"/>
                <w:spacing w:val="-20"/>
                <w:kern w:val="0"/>
                <w:sz w:val="21"/>
                <w:szCs w:val="21"/>
                <w:lang w:val="en-US" w:eastAsia="zh-CN"/>
              </w:rPr>
              <w:t xml:space="preserve">                        </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17366C5A">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被授权代表：</w:t>
            </w:r>
            <w:r>
              <w:rPr>
                <w:rFonts w:hint="eastAsia" w:ascii="华文仿宋" w:hAnsi="华文仿宋" w:eastAsia="华文仿宋" w:cs="华文仿宋"/>
                <w:color w:val="auto"/>
                <w:spacing w:val="-20"/>
                <w:kern w:val="0"/>
                <w:sz w:val="21"/>
                <w:szCs w:val="21"/>
                <w:lang w:val="en-US" w:eastAsia="zh-CN"/>
              </w:rPr>
              <w:t xml:space="preserve">               </w:t>
            </w:r>
            <w:r>
              <w:rPr>
                <w:rFonts w:hint="eastAsia" w:ascii="华文仿宋" w:hAnsi="华文仿宋" w:eastAsia="华文仿宋" w:cs="华文仿宋"/>
                <w:color w:val="auto"/>
                <w:spacing w:val="-20"/>
                <w:kern w:val="0"/>
                <w:sz w:val="21"/>
                <w:szCs w:val="21"/>
              </w:rPr>
              <w:t>（签字）</w:t>
            </w:r>
            <w:r>
              <w:rPr>
                <w:rFonts w:hint="eastAsia" w:ascii="华文仿宋" w:hAnsi="华文仿宋" w:eastAsia="华文仿宋" w:cs="华文仿宋"/>
                <w:color w:val="auto"/>
                <w:spacing w:val="-20"/>
                <w:kern w:val="0"/>
                <w:sz w:val="21"/>
                <w:szCs w:val="21"/>
                <w:lang w:val="en-US" w:eastAsia="zh-CN"/>
              </w:rPr>
              <w:t xml:space="preserve">           </w:t>
            </w:r>
          </w:p>
        </w:tc>
      </w:tr>
      <w:tr w14:paraId="6324F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4D6577A5">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电话：</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463B4B7C">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电话：</w:t>
            </w:r>
          </w:p>
        </w:tc>
      </w:tr>
      <w:tr w14:paraId="1D038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62F7A88F">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法定代表人：</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76AB8664">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lang w:val="en-US" w:eastAsia="zh-CN"/>
              </w:rPr>
            </w:pPr>
            <w:r>
              <w:rPr>
                <w:rFonts w:hint="eastAsia" w:ascii="华文仿宋" w:hAnsi="华文仿宋" w:eastAsia="华文仿宋" w:cs="华文仿宋"/>
                <w:color w:val="auto"/>
                <w:spacing w:val="-20"/>
                <w:kern w:val="0"/>
                <w:sz w:val="21"/>
                <w:szCs w:val="21"/>
              </w:rPr>
              <w:t>传真：</w:t>
            </w:r>
          </w:p>
        </w:tc>
      </w:tr>
      <w:tr w14:paraId="70791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0A55D77A">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开户银行：</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207D4D9B">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开户银行：</w:t>
            </w:r>
          </w:p>
        </w:tc>
      </w:tr>
      <w:tr w14:paraId="7CD5A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22E783D3">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帐号：</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5649B772">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帐号：</w:t>
            </w:r>
          </w:p>
        </w:tc>
      </w:tr>
      <w:tr w14:paraId="528A2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256" w:type="dxa"/>
            <w:tcBorders>
              <w:top w:val="single" w:color="auto" w:sz="4" w:space="0"/>
              <w:left w:val="single" w:color="auto" w:sz="4" w:space="0"/>
              <w:bottom w:val="single" w:color="auto" w:sz="4" w:space="0"/>
              <w:right w:val="single" w:color="auto" w:sz="4" w:space="0"/>
            </w:tcBorders>
            <w:noWrap w:val="0"/>
            <w:vAlign w:val="top"/>
          </w:tcPr>
          <w:p w14:paraId="1D0C598F">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日期：   年   月   日</w:t>
            </w:r>
          </w:p>
        </w:tc>
        <w:tc>
          <w:tcPr>
            <w:tcW w:w="4663" w:type="dxa"/>
            <w:tcBorders>
              <w:top w:val="single" w:color="auto" w:sz="4" w:space="0"/>
              <w:left w:val="single" w:color="auto" w:sz="4" w:space="0"/>
              <w:bottom w:val="single" w:color="auto" w:sz="4" w:space="0"/>
              <w:right w:val="single" w:color="auto" w:sz="4" w:space="0"/>
            </w:tcBorders>
            <w:noWrap w:val="0"/>
            <w:vAlign w:val="top"/>
          </w:tcPr>
          <w:p w14:paraId="3D6BE646">
            <w:pPr>
              <w:keepNext w:val="0"/>
              <w:keepLines w:val="0"/>
              <w:pageBreakBefore w:val="0"/>
              <w:widowControl w:val="0"/>
              <w:kinsoku/>
              <w:wordWrap/>
              <w:overflowPunct/>
              <w:topLinePunct w:val="0"/>
              <w:autoSpaceDE w:val="0"/>
              <w:autoSpaceDN w:val="0"/>
              <w:bidi w:val="0"/>
              <w:adjustRightInd w:val="0"/>
              <w:spacing w:line="360" w:lineRule="auto"/>
              <w:ind w:firstLine="340" w:firstLineChars="200"/>
              <w:jc w:val="left"/>
              <w:textAlignment w:val="auto"/>
              <w:rPr>
                <w:rFonts w:hint="eastAsia" w:ascii="华文仿宋" w:hAnsi="华文仿宋" w:eastAsia="华文仿宋" w:cs="华文仿宋"/>
                <w:color w:val="auto"/>
                <w:spacing w:val="-20"/>
                <w:kern w:val="0"/>
                <w:sz w:val="21"/>
                <w:szCs w:val="21"/>
              </w:rPr>
            </w:pPr>
            <w:r>
              <w:rPr>
                <w:rFonts w:hint="eastAsia" w:ascii="华文仿宋" w:hAnsi="华文仿宋" w:eastAsia="华文仿宋" w:cs="华文仿宋"/>
                <w:color w:val="auto"/>
                <w:spacing w:val="-20"/>
                <w:kern w:val="0"/>
                <w:sz w:val="21"/>
                <w:szCs w:val="21"/>
              </w:rPr>
              <w:t>日期：   年   月   日</w:t>
            </w:r>
          </w:p>
        </w:tc>
      </w:tr>
    </w:tbl>
    <w:p w14:paraId="200D4911">
      <w:pPr>
        <w:pStyle w:val="2"/>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lang w:val="en-US" w:eastAsia="zh-CN"/>
        </w:rPr>
      </w:pPr>
    </w:p>
    <w:p w14:paraId="6F6A829F">
      <w:pPr>
        <w:pStyle w:val="2"/>
        <w:rPr>
          <w:rFonts w:hint="eastAsia" w:asciiTheme="minorEastAsia" w:hAnsiTheme="minorEastAsia" w:eastAsiaTheme="minorEastAsia" w:cstheme="minorEastAsia"/>
          <w:color w:val="auto"/>
          <w:lang w:val="en-US" w:eastAsia="zh-CN"/>
        </w:rPr>
      </w:pPr>
    </w:p>
    <w:p w14:paraId="3C18C387">
      <w:pPr>
        <w:snapToGrid w:val="0"/>
        <w:spacing w:line="520" w:lineRule="exact"/>
        <w:jc w:val="center"/>
        <w:rPr>
          <w:rFonts w:hint="eastAsia" w:asciiTheme="minorEastAsia" w:hAnsiTheme="minorEastAsia" w:eastAsiaTheme="minorEastAsia" w:cstheme="minorEastAsia"/>
          <w:b/>
          <w:color w:val="auto"/>
          <w:sz w:val="36"/>
          <w:szCs w:val="36"/>
        </w:rPr>
      </w:pPr>
    </w:p>
    <w:p w14:paraId="4280EE7A">
      <w:pPr>
        <w:rPr>
          <w:rFonts w:hint="eastAsia" w:ascii="仿宋" w:hAnsi="仿宋" w:eastAsia="仿宋" w:cs="仿宋"/>
          <w:color w:val="auto"/>
          <w:sz w:val="21"/>
          <w:highlight w:val="none"/>
        </w:rPr>
      </w:pPr>
    </w:p>
    <w:p w14:paraId="7FB5F069">
      <w:pPr>
        <w:pStyle w:val="26"/>
        <w:rPr>
          <w:rFonts w:hint="eastAsia" w:ascii="仿宋" w:hAnsi="仿宋" w:eastAsia="仿宋" w:cs="仿宋"/>
          <w:color w:val="auto"/>
          <w:highlight w:val="none"/>
          <w:lang w:val="en-US" w:eastAsia="zh-Hans"/>
        </w:rPr>
      </w:pPr>
    </w:p>
    <w:p w14:paraId="1580B3B4">
      <w:pPr>
        <w:rPr>
          <w:rFonts w:hint="eastAsia"/>
          <w:color w:val="auto"/>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72265">
    <w:pPr>
      <w:pStyle w:val="2"/>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787F2C6">
                          <w:pPr>
                            <w:pStyle w:val="2"/>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1787F2C6">
                    <w:pPr>
                      <w:pStyle w:val="2"/>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2D37EB0"/>
    <w:rsid w:val="05306AF9"/>
    <w:rsid w:val="07001599"/>
    <w:rsid w:val="07851442"/>
    <w:rsid w:val="07A55852"/>
    <w:rsid w:val="091E1297"/>
    <w:rsid w:val="0AB64089"/>
    <w:rsid w:val="0B4121B4"/>
    <w:rsid w:val="0BD83185"/>
    <w:rsid w:val="0C6576D1"/>
    <w:rsid w:val="0D135C89"/>
    <w:rsid w:val="0D8B4292"/>
    <w:rsid w:val="0DC950AB"/>
    <w:rsid w:val="0DCE1ADD"/>
    <w:rsid w:val="0E963FDB"/>
    <w:rsid w:val="0EC5559E"/>
    <w:rsid w:val="0ED17E6C"/>
    <w:rsid w:val="0F1727CE"/>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235EE1"/>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8B1B40"/>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A954F8"/>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493F40"/>
    <w:rsid w:val="546045FE"/>
    <w:rsid w:val="554D5290"/>
    <w:rsid w:val="56296E24"/>
    <w:rsid w:val="56E04626"/>
    <w:rsid w:val="57DC64E0"/>
    <w:rsid w:val="581A515D"/>
    <w:rsid w:val="584125D2"/>
    <w:rsid w:val="58AE1A31"/>
    <w:rsid w:val="58B053E8"/>
    <w:rsid w:val="58CB3CE0"/>
    <w:rsid w:val="595A5E33"/>
    <w:rsid w:val="59EA7F4F"/>
    <w:rsid w:val="5ACA5725"/>
    <w:rsid w:val="5ADC54F0"/>
    <w:rsid w:val="5C741667"/>
    <w:rsid w:val="5CAB1AAC"/>
    <w:rsid w:val="5D186F18"/>
    <w:rsid w:val="5D9341C4"/>
    <w:rsid w:val="5F0745CE"/>
    <w:rsid w:val="5FCC6BAB"/>
    <w:rsid w:val="60886A5A"/>
    <w:rsid w:val="60A5089F"/>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DAD5BBC"/>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Ascii" w:hAnsiTheme="minorAscii" w:cstheme="minorBidi"/>
      <w:kern w:val="2"/>
      <w:sz w:val="28"/>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5"/>
    <w:next w:val="1"/>
    <w:link w:val="25"/>
    <w:semiHidden/>
    <w:unhideWhenUsed/>
    <w:qFormat/>
    <w:uiPriority w:val="0"/>
    <w:pPr>
      <w:keepNext/>
      <w:keepLines/>
      <w:spacing w:line="240" w:lineRule="auto"/>
      <w:jc w:val="center"/>
      <w:outlineLvl w:val="1"/>
    </w:pPr>
    <w:rPr>
      <w:rFonts w:ascii="Calibri" w:hAnsi="Calibri" w:eastAsia="宋体"/>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Plain Text"/>
    <w:basedOn w:val="1"/>
    <w:qFormat/>
    <w:uiPriority w:val="99"/>
    <w:pPr>
      <w:spacing w:line="324" w:lineRule="auto"/>
    </w:pPr>
    <w:rPr>
      <w:rFonts w:ascii="宋体" w:hAnsi="Courier New" w:eastAsia="仿宋"/>
      <w:sz w:val="32"/>
      <w:szCs w:val="21"/>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7">
    <w:name w:val="Body Text First Indent"/>
    <w:basedOn w:val="14"/>
    <w:next w:val="1"/>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5">
    <w:name w:val="标题 2 字符"/>
    <w:link w:val="4"/>
    <w:autoRedefine/>
    <w:qFormat/>
    <w:uiPriority w:val="0"/>
    <w:rPr>
      <w:rFonts w:ascii="仿宋" w:hAnsi="仿宋" w:eastAsia="仿宋" w:cs="仿宋"/>
      <w:b/>
      <w:bCs/>
      <w:sz w:val="24"/>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table" w:customStyle="1" w:styleId="2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2025-08-29T09:36:54Z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71EAB7F3968B4E06819562D9263EE1F1_13</vt:lpwstr>
  </property>
  <property fmtid="{D5CDD505-2E9C-101B-9397-08002B2CF9AE}" pid="4" name="KSOTemplateDocerSaveRecord">
    <vt:lpwstr>eyJoZGlkIjoiMTc4OTY2MjQyNzU2MGRhMDk4ZDA4ODNiNzkzNjY5ZjkiLCJ1c2VySWQiOiI0NDIwOTI0MjIifQ==</vt:lpwstr>
  </property>
</Properties>
</file>