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版本号：TZZB-Z-2025245C20250829001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2025年西安教育大数据平台运行维护项目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TZZB-Z-2025245C</w:t>
      </w:r>
      <w:r>
        <w:br/>
      </w:r>
      <w:r>
        <w:br/>
      </w:r>
      <w:r>
        <w:br/>
      </w:r>
    </w:p>
    <w:p>
      <w:pPr>
        <w:pStyle w:val="null3"/>
        <w:jc w:val="center"/>
        <w:outlineLvl w:val="2"/>
      </w:pPr>
      <w:r>
        <w:rPr>
          <w:rFonts w:ascii="仿宋_GB2312" w:hAnsi="仿宋_GB2312" w:cs="仿宋_GB2312" w:eastAsia="仿宋_GB2312"/>
          <w:sz w:val="28"/>
          <w:b/>
        </w:rPr>
        <w:t>西安市现代教育信息技术中心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西安市现代教育信息技术中心</w:t>
      </w:r>
      <w:r>
        <w:rPr>
          <w:rFonts w:ascii="仿宋_GB2312" w:hAnsi="仿宋_GB2312" w:cs="仿宋_GB2312" w:eastAsia="仿宋_GB2312"/>
        </w:rPr>
        <w:t>委托，拟对</w:t>
      </w:r>
      <w:r>
        <w:rPr>
          <w:rFonts w:ascii="仿宋_GB2312" w:hAnsi="仿宋_GB2312" w:cs="仿宋_GB2312" w:eastAsia="仿宋_GB2312"/>
        </w:rPr>
        <w:t>2025年西安教育大数据平台运行维护项目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TZZB-Z-2025245C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2025年西安教育大数据平台运行维护项目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2025年西安教育大数据平台运行维护项目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报告：提供2024年度经审计的完整有效财务报告，或其响应文件递交截止时间前三个月内基本开户银行出具的资信证明，或财政部门认可的政府采购专业担保机构出具的担保函（以上三种任意一项即可）。</w:t>
      </w:r>
    </w:p>
    <w:p>
      <w:pPr>
        <w:pStyle w:val="null3"/>
      </w:pPr>
      <w:r>
        <w:rPr>
          <w:rFonts w:ascii="仿宋_GB2312" w:hAnsi="仿宋_GB2312" w:cs="仿宋_GB2312" w:eastAsia="仿宋_GB2312"/>
        </w:rPr>
        <w:t>5、社保缴纳证明：提供自2024年8月1日以来已缴存的任意1个月的社会保障资金缴存单据或社保机构开具的社会保险参保缴费情况证明；依法不需要缴纳社会保障资金的供应商应提供相关证明文件。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提供自2024年8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7、提供具有履行合同所必需的设备和专业技术能力的书面承诺：加盖供应商公章。</w:t>
      </w:r>
    </w:p>
    <w:p>
      <w:pPr>
        <w:pStyle w:val="null3"/>
      </w:pPr>
      <w:r>
        <w:rPr>
          <w:rFonts w:ascii="仿宋_GB2312" w:hAnsi="仿宋_GB2312" w:cs="仿宋_GB2312" w:eastAsia="仿宋_GB2312"/>
        </w:rPr>
        <w:t>8、提供参加政府采购活动前三年内在经营活动中没有重大违法记录的书面声明：加盖供应商公章。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西安市现代教育信息技术中心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029-87262058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 代理服务费缴纳账号： 账户名称：同正项目管理有限公司 开户行：中国建设银行股份有限公司西安长庆支行 银行账号：61050190550000001106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西安市现代教育信息技术中心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西安市现代教育信息技术中心</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西安市现代教育信息技术中心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 天寰国际1107室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rPr>
        <w:t>一、</w:t>
      </w:r>
      <w:r>
        <w:rPr>
          <w:rFonts w:ascii="仿宋_GB2312" w:hAnsi="仿宋_GB2312" w:cs="仿宋_GB2312" w:eastAsia="仿宋_GB2312"/>
          <w:sz w:val="20"/>
        </w:rPr>
        <w:t>西安教育大数据平台包含了应用、资源、数据、信息四位一体的较为完善的区域智慧教育平台。主要包括：</w:t>
      </w:r>
    </w:p>
    <w:p>
      <w:pPr>
        <w:pStyle w:val="null3"/>
        <w:ind w:firstLine="400"/>
        <w:jc w:val="both"/>
      </w:pPr>
      <w:r>
        <w:rPr>
          <w:rFonts w:ascii="仿宋_GB2312" w:hAnsi="仿宋_GB2312" w:cs="仿宋_GB2312" w:eastAsia="仿宋_GB2312"/>
          <w:sz w:val="20"/>
        </w:rPr>
        <w:t>一期项目建设完成了西安教育电子地图，将西安教育数据叠加到电子地图上，打造了面向教育主题的服务广大市民及教育管理人员的基于城市地理信息的教育数据分析展示平台。</w:t>
      </w:r>
    </w:p>
    <w:p>
      <w:pPr>
        <w:pStyle w:val="null3"/>
        <w:ind w:firstLine="400"/>
        <w:jc w:val="both"/>
      </w:pPr>
      <w:r>
        <w:rPr>
          <w:rFonts w:ascii="仿宋_GB2312" w:hAnsi="仿宋_GB2312" w:cs="仿宋_GB2312" w:eastAsia="仿宋_GB2312"/>
          <w:sz w:val="20"/>
        </w:rPr>
        <w:t>二期项目通过实施西安教育大数据</w:t>
      </w:r>
      <w:r>
        <w:rPr>
          <w:rFonts w:ascii="仿宋_GB2312" w:hAnsi="仿宋_GB2312" w:cs="仿宋_GB2312" w:eastAsia="仿宋_GB2312"/>
          <w:sz w:val="20"/>
        </w:rPr>
        <w:t>“123”工程，以教育数据交换能力和统一认证能力建设为基础，迭代升级了西安教育大数据平台，构建了西安教育管理综合服务平台，建成了西安教育大数据仓库和教育应用统一门户，以及政策信息发布和数据汇聚、共享、交换、分析和各类已建、待建教育应用系统统一认证、协同工作的基础环境，并形成了市-区县-学校多级联动的应用访问机制。初步构建了学生作业、教育缴费、教育证书、课后服务、学生综合素质评价等市级智慧教育应用。</w:t>
      </w:r>
    </w:p>
    <w:p>
      <w:pPr>
        <w:pStyle w:val="null3"/>
        <w:ind w:firstLine="400"/>
        <w:jc w:val="both"/>
      </w:pPr>
      <w:r>
        <w:rPr>
          <w:rFonts w:ascii="仿宋_GB2312" w:hAnsi="仿宋_GB2312" w:cs="仿宋_GB2312" w:eastAsia="仿宋_GB2312"/>
          <w:sz w:val="20"/>
        </w:rPr>
        <w:t>三期项目开展了平台数据治理，实现了局、校之间的数据联动和基础数据同步，并将多来源数据进行清洗转换后优化充实了西安教育大数据仓库，以及基于大数据的决策分析。初步构建了教师基础档案、教师业务档案、教师教学质量监测、教师画像等。提供展示信息化建设成果的分享空间，帮助各校进行专题分享和相互学习建设经验。同时建设了教育督导评估、责任督学挂牌督导、县域义务教育优质均衡发展监测系统等督导类应用。</w:t>
      </w:r>
    </w:p>
    <w:p>
      <w:pPr>
        <w:pStyle w:val="null3"/>
        <w:ind w:firstLine="400"/>
        <w:jc w:val="both"/>
      </w:pPr>
      <w:r>
        <w:rPr>
          <w:rFonts w:ascii="仿宋_GB2312" w:hAnsi="仿宋_GB2312" w:cs="仿宋_GB2312" w:eastAsia="仿宋_GB2312"/>
          <w:sz w:val="20"/>
        </w:rPr>
        <w:t>基于以上一、二、三期项目建设形成了西安教育大数据较为完善的区域智慧教育平台。</w:t>
      </w:r>
    </w:p>
    <w:p>
      <w:pPr>
        <w:pStyle w:val="null3"/>
        <w:ind w:firstLine="400"/>
        <w:jc w:val="both"/>
      </w:pPr>
      <w:r>
        <w:rPr>
          <w:rFonts w:ascii="仿宋_GB2312" w:hAnsi="仿宋_GB2312" w:cs="仿宋_GB2312" w:eastAsia="仿宋_GB2312"/>
          <w:sz w:val="20"/>
        </w:rPr>
        <w:t>2025年西安教育大数据平台按照要求进行信创改造，此运维项目根据信创改造进度伴随式运维，保证信创改造后所有平台功能运行正常，信创改造下线功能需提供数据备份运维保障。</w:t>
      </w:r>
    </w:p>
    <w:p>
      <w:pPr>
        <w:pStyle w:val="null3"/>
        <w:ind w:firstLine="400"/>
        <w:jc w:val="left"/>
      </w:pPr>
      <w:r>
        <w:rPr>
          <w:rFonts w:ascii="仿宋_GB2312" w:hAnsi="仿宋_GB2312" w:cs="仿宋_GB2312" w:eastAsia="仿宋_GB2312"/>
          <w:sz w:val="20"/>
        </w:rPr>
        <w:t>二、西安教育大数据平台目前部署在公有云环境中，部署环境和云资源环境详细清单明细如下：</w:t>
      </w:r>
    </w:p>
    <w:tbl>
      <w:tblPr>
        <w:tblW w:w="0" w:type="auto"/>
        <w:tblBorders>
          <w:top w:val="none" w:color="000000" w:sz="4"/>
          <w:left w:val="none" w:color="000000" w:sz="4"/>
          <w:bottom w:val="none" w:color="000000" w:sz="4"/>
          <w:right w:val="none" w:color="000000" w:sz="4"/>
          <w:insideH w:val="none"/>
          <w:insideV w:val="none"/>
        </w:tblBorders>
      </w:tblPr>
      <w:tblGrid>
        <w:gridCol w:w="500"/>
        <w:gridCol w:w="896"/>
        <w:gridCol w:w="837"/>
        <w:gridCol w:w="4070"/>
        <w:gridCol w:w="1058"/>
        <w:gridCol w:w="940"/>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部署内容</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部署模块</w:t>
            </w:r>
          </w:p>
        </w:tc>
        <w:tc>
          <w:tcPr>
            <w:tcW w:type="dxa" w:w="4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资源明细</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西安教育大数据平台云资源支撑</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电信天翼云资源支撑</w:t>
            </w: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天翼云应用服务器：</w:t>
            </w:r>
            <w:r>
              <w:rPr>
                <w:rFonts w:ascii="仿宋_GB2312" w:hAnsi="仿宋_GB2312" w:cs="仿宋_GB2312" w:eastAsia="仿宋_GB2312"/>
                <w:sz w:val="20"/>
              </w:rPr>
              <w:t>12台，4核8G；硬盘100G；其中两台开通外网IP并配置20M带宽；</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天翼云弹性</w:t>
            </w:r>
            <w:r>
              <w:rPr>
                <w:rFonts w:ascii="仿宋_GB2312" w:hAnsi="仿宋_GB2312" w:cs="仿宋_GB2312" w:eastAsia="仿宋_GB2312"/>
                <w:sz w:val="20"/>
              </w:rPr>
              <w:t>IP服务：独立公网P资源，包括公网IP地址与公网出口带宽20M；</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天翼云数据库服务器：</w:t>
            </w:r>
            <w:r>
              <w:rPr>
                <w:rFonts w:ascii="仿宋_GB2312" w:hAnsi="仿宋_GB2312" w:cs="仿宋_GB2312" w:eastAsia="仿宋_GB2312"/>
                <w:sz w:val="20"/>
              </w:rPr>
              <w:t>1台，8核64G；系统盘100G；硬盘1000G；</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天翼云文件服务器：</w:t>
            </w:r>
            <w:r>
              <w:rPr>
                <w:rFonts w:ascii="仿宋_GB2312" w:hAnsi="仿宋_GB2312" w:cs="仿宋_GB2312" w:eastAsia="仿宋_GB2312"/>
                <w:sz w:val="20"/>
              </w:rPr>
              <w:t>1台，8核32G；系统盘：100G硬盘1000G；</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天翼云日志审计软件</w:t>
            </w:r>
            <w:r>
              <w:rPr>
                <w:rFonts w:ascii="仿宋_GB2312" w:hAnsi="仿宋_GB2312" w:cs="仿宋_GB2312" w:eastAsia="仿宋_GB2312"/>
                <w:sz w:val="20"/>
              </w:rPr>
              <w:t>License</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天翼云服务器安全卫士</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w:t>
            </w:r>
            <w:r>
              <w:rPr>
                <w:rFonts w:ascii="仿宋_GB2312" w:hAnsi="仿宋_GB2312" w:cs="仿宋_GB2312" w:eastAsia="仿宋_GB2312"/>
                <w:sz w:val="20"/>
              </w:rPr>
              <w:t>SSL证书</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天翼云网页防篡改（原生版）</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天翼云</w:t>
            </w:r>
            <w:r>
              <w:rPr>
                <w:rFonts w:ascii="仿宋_GB2312" w:hAnsi="仿宋_GB2312" w:cs="仿宋_GB2312" w:eastAsia="仿宋_GB2312"/>
                <w:sz w:val="20"/>
              </w:rPr>
              <w:t>Web应用防火墙(边缘云版）</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96"/>
            <w:vMerge/>
            <w:tcBorders>
              <w:top w:val="none" w:color="000000" w:sz="4"/>
              <w:left w:val="none" w:color="000000" w:sz="4"/>
              <w:bottom w:val="single" w:color="000000" w:sz="4"/>
              <w:right w:val="single" w:color="000000" w:sz="4"/>
            </w:tcBorders>
          </w:tcPr>
          <w:p/>
        </w:tc>
        <w:tc>
          <w:tcPr>
            <w:tcW w:type="dxa" w:w="837"/>
            <w:vMerge/>
            <w:tcBorders>
              <w:top w:val="none" w:color="000000" w:sz="4"/>
              <w:left w:val="none" w:color="000000" w:sz="4"/>
              <w:bottom w:val="single" w:color="000000" w:sz="4"/>
              <w:right w:val="single" w:color="000000" w:sz="4"/>
            </w:tcBorders>
          </w:tcPr>
          <w:p/>
        </w:tc>
        <w:tc>
          <w:tcPr>
            <w:tcW w:type="dxa" w:w="4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阿里云短信服务</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200000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2025年西安教育大数据平台运行维护项目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标的名称：2025年西安教育大数据平台运行维护项目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运维内容</w:t>
            </w:r>
          </w:p>
          <w:p>
            <w:pPr>
              <w:pStyle w:val="null3"/>
              <w:jc w:val="left"/>
            </w:pPr>
            <w:r>
              <w:rPr>
                <w:rFonts w:ascii="仿宋_GB2312" w:hAnsi="仿宋_GB2312" w:cs="仿宋_GB2312" w:eastAsia="仿宋_GB2312"/>
                <w:sz w:val="20"/>
                <w:b/>
              </w:rPr>
              <w:t>1.平台云资源支撑</w:t>
            </w:r>
          </w:p>
          <w:p>
            <w:pPr>
              <w:pStyle w:val="null3"/>
              <w:jc w:val="both"/>
            </w:pPr>
            <w:r>
              <w:rPr>
                <w:rFonts w:ascii="仿宋_GB2312" w:hAnsi="仿宋_GB2312" w:cs="仿宋_GB2312" w:eastAsia="仿宋_GB2312"/>
                <w:sz w:val="20"/>
              </w:rPr>
              <w:t>西安教育大数据平台云资源租期与平台免费运行维护期同时到期，需要继续租用云资源为平台提供安全可靠的运行环境。西安教育大数据平台保证原域名（</w:t>
            </w:r>
            <w:r>
              <w:rPr>
                <w:rFonts w:ascii="仿宋_GB2312" w:hAnsi="仿宋_GB2312" w:cs="仿宋_GB2312" w:eastAsia="仿宋_GB2312"/>
                <w:sz w:val="20"/>
              </w:rPr>
              <w:t>xaedu.cloud）和新域名（xaeducloud.cn）同时可访问运行。原域名（xaedu.cloud）相关资源依赖天翼云云资源支撑，新域名（xaeducloud.cn）资源环境由大数据局提供。西安教育大平台原xaedu.cloud域名持续为用户提供访问服务跳转至xaeducloud.cn新域名。云资源租用费用须包含在本项目总报价中；若发生数据迁移，须保证平台完整无缝迁移，费用也应包含在本项目总报价中。云资源采购根据信创改造及迁移进度，按月分阶段采购。具体云资源支撑要求如下：</w:t>
            </w:r>
          </w:p>
          <w:tbl>
            <w:tblPr>
              <w:tblInd w:type="dxa" w:w="135"/>
              <w:tblBorders>
                <w:top w:val="none" w:color="000000" w:sz="4"/>
                <w:left w:val="none" w:color="000000" w:sz="4"/>
                <w:bottom w:val="none" w:color="000000" w:sz="4"/>
                <w:right w:val="none" w:color="000000" w:sz="4"/>
                <w:insideH w:val="none"/>
                <w:insideV w:val="none"/>
              </w:tblBorders>
            </w:tblPr>
            <w:tblGrid>
              <w:gridCol w:w="444"/>
              <w:gridCol w:w="1380"/>
              <w:gridCol w:w="363"/>
              <w:gridCol w:w="347"/>
            </w:tblGrid>
            <w:tr>
              <w:tc>
                <w:tcPr>
                  <w:tcW w:type="dxa" w:w="44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服务模块</w:t>
                  </w:r>
                </w:p>
              </w:tc>
              <w:tc>
                <w:tcPr>
                  <w:tcW w:type="dxa" w:w="1380"/>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c>
                <w:tcPr>
                  <w:tcW w:type="dxa" w:w="363"/>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47"/>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44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云资源支撑</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应用服务器：</w:t>
                  </w:r>
                  <w:r>
                    <w:rPr>
                      <w:rFonts w:ascii="仿宋_GB2312" w:hAnsi="仿宋_GB2312" w:cs="仿宋_GB2312" w:eastAsia="仿宋_GB2312"/>
                      <w:sz w:val="20"/>
                    </w:rPr>
                    <w:t>1台，4核8G；硬盘100G；其中两台开通外网IP并配置20M带宽；</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弹性</w:t>
                  </w:r>
                  <w:r>
                    <w:rPr>
                      <w:rFonts w:ascii="仿宋_GB2312" w:hAnsi="仿宋_GB2312" w:cs="仿宋_GB2312" w:eastAsia="仿宋_GB2312"/>
                      <w:sz w:val="20"/>
                    </w:rPr>
                    <w:t>IP服务：独立公网P资源，包括公网IP地址与公网出口带宽20M；</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日志审计软件</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服务器安全卫士</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安全证书</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网页防篡改</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Web应用防火墙</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短信服务</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200000</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r>
            <w:tr>
              <w:tc>
                <w:tcPr>
                  <w:tcW w:type="dxa" w:w="444"/>
                  <w:vMerge/>
                  <w:tcBorders>
                    <w:top w:val="none" w:color="000000" w:sz="4"/>
                    <w:left w:val="single" w:color="000000" w:sz="4"/>
                    <w:bottom w:val="none" w:color="000000" w:sz="4"/>
                    <w:right w:val="single" w:color="000000" w:sz="4"/>
                  </w:tcBorders>
                </w:tcP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网盘企业版（专业版）续费服务、小程序年审服务</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pPr>
              <w:pStyle w:val="null3"/>
              <w:jc w:val="both"/>
            </w:pPr>
            <w:r>
              <w:rPr>
                <w:rFonts w:ascii="仿宋_GB2312" w:hAnsi="仿宋_GB2312" w:cs="仿宋_GB2312" w:eastAsia="仿宋_GB2312"/>
                <w:sz w:val="20"/>
              </w:rPr>
              <w:t>2.平台软件运维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平台运行维护：包括对平台软件、硬件日常和定期巡检。主要包括对平台资源使用情况、系统运行状态、日志文件、应用使用空间及服务器运行情况进行监测，及时发现问题并解决问题。专人巡检中间件运行状态，日志文件及动态监测和问题处理，包括：每天巡检及问题处理、每周定期巡检及问题处理、每月定期巡检及问题处理、每季度定期巡检及问题处理、每年定期巡检及问题处理；每月出具巡检报告，巡检报告包括网络、主机、数据库、中间件、业务系统等对象的运行状态、关键性能、告警、资源等对比统计报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平台集成运行维护：专人负责第三方应用系统对接、认证对接、开发接口对接、系统间接口调用。根据西安市教育局要求集成第三方应用系统功能，动态监测系统间对接、认证接口调用情况，确保各系统间接口调用正常，及时修复接口故障。与第三方平台进行统一认证对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平台安全运维：专人负责平台安全运维工作对监测平台安全性及安全隐患排除和安全补丁更新修复。包括：每季度对网络安全设备进行一次安全巡检，提交检查设备运行状态、病毒库版本等的巡检报告；每季度进行业务虚拟机服务器的漏洞扫描，根据扫描情况进行漏洞加固服务；根据需要提供敏感时期网络安全值守服务，并提供值班记录；协助采购人进行应急演练，每年至少开展一次应急演练并形成报告，同时提出合理的应急预案修订建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4）业务应用运维：根据要求对已有业务应用进行运行维护，确保各项功能运行正常。负责西安教育大数据平台现有业务功能的运行维护，及时解决软件故障，确保各项功能运行正常。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5）数据库运维：负责西安教育大数据平台数据库运维工作，主要投入人力为数据库工程师。负责对数据库正常运行，对数据库进行专项的日常巡检和定期巡检以及定期备份。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6）数据治理：负责对平台对接的数据进行汇聚、整理、分析。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实施要求</w:t>
            </w:r>
          </w:p>
          <w:p>
            <w:pPr>
              <w:pStyle w:val="null3"/>
              <w:jc w:val="both"/>
            </w:pPr>
            <w:r>
              <w:rPr>
                <w:rFonts w:ascii="仿宋_GB2312" w:hAnsi="仿宋_GB2312" w:cs="仿宋_GB2312" w:eastAsia="仿宋_GB2312"/>
                <w:sz w:val="20"/>
              </w:rPr>
              <w:t>1.组织分工</w:t>
            </w:r>
          </w:p>
          <w:p>
            <w:pPr>
              <w:pStyle w:val="null3"/>
              <w:jc w:val="both"/>
            </w:pPr>
            <w:r>
              <w:rPr>
                <w:rFonts w:ascii="仿宋_GB2312" w:hAnsi="仿宋_GB2312" w:cs="仿宋_GB2312" w:eastAsia="仿宋_GB2312"/>
                <w:sz w:val="20"/>
              </w:rPr>
              <w:t>根据项目特点设置项目组织机构并配备相应的运维人员（列出项目机构图，明确人员职责，明确运维方案；运维人员包含项目经理不少于</w:t>
            </w:r>
            <w:r>
              <w:rPr>
                <w:rFonts w:ascii="仿宋_GB2312" w:hAnsi="仿宋_GB2312" w:cs="仿宋_GB2312" w:eastAsia="仿宋_GB2312"/>
                <w:sz w:val="20"/>
              </w:rPr>
              <w:t>8人，列出运维人员技能、资格证书等证明材料）。</w:t>
            </w:r>
          </w:p>
          <w:p>
            <w:pPr>
              <w:pStyle w:val="null3"/>
              <w:jc w:val="both"/>
            </w:pPr>
            <w:r>
              <w:rPr>
                <w:rFonts w:ascii="仿宋_GB2312" w:hAnsi="仿宋_GB2312" w:cs="仿宋_GB2312" w:eastAsia="仿宋_GB2312"/>
                <w:sz w:val="20"/>
              </w:rPr>
              <w:t>2.网络安全</w:t>
            </w:r>
          </w:p>
          <w:p>
            <w:pPr>
              <w:pStyle w:val="null3"/>
              <w:jc w:val="both"/>
            </w:pPr>
            <w:r>
              <w:rPr>
                <w:rFonts w:ascii="仿宋_GB2312" w:hAnsi="仿宋_GB2312" w:cs="仿宋_GB2312" w:eastAsia="仿宋_GB2312"/>
                <w:sz w:val="20"/>
              </w:rPr>
              <w:t>根据项目特性提供网络和信息安全保障方案。制定密码设计方案和应用方案，并组织相关专家论证。运维人员要遵守用户的各项规章制度。对服务方的网络、主机、系统软件、应用软件等的密码、核心参数、业务数据等负有保密责任，并签订数据保密协议，配合做好等保密评等相关工作。</w:t>
            </w:r>
          </w:p>
          <w:p>
            <w:pPr>
              <w:pStyle w:val="null3"/>
              <w:jc w:val="both"/>
            </w:pPr>
            <w:r>
              <w:rPr>
                <w:rFonts w:ascii="仿宋_GB2312" w:hAnsi="仿宋_GB2312" w:cs="仿宋_GB2312" w:eastAsia="仿宋_GB2312"/>
                <w:sz w:val="20"/>
              </w:rPr>
              <w:t>3.驻场人员</w:t>
            </w:r>
          </w:p>
          <w:p>
            <w:pPr>
              <w:pStyle w:val="null3"/>
              <w:jc w:val="both"/>
            </w:pPr>
            <w:r>
              <w:rPr>
                <w:rFonts w:ascii="仿宋_GB2312" w:hAnsi="仿宋_GB2312" w:cs="仿宋_GB2312" w:eastAsia="仿宋_GB2312"/>
                <w:sz w:val="20"/>
              </w:rPr>
              <w:t>提供至少</w:t>
            </w:r>
            <w:r>
              <w:rPr>
                <w:rFonts w:ascii="仿宋_GB2312" w:hAnsi="仿宋_GB2312" w:cs="仿宋_GB2312" w:eastAsia="仿宋_GB2312"/>
                <w:sz w:val="20"/>
              </w:rPr>
              <w:t>1名驻场人员。</w:t>
            </w:r>
          </w:p>
          <w:p>
            <w:pPr>
              <w:pStyle w:val="null3"/>
              <w:jc w:val="both"/>
            </w:pPr>
            <w:r>
              <w:rPr>
                <w:rFonts w:ascii="仿宋_GB2312" w:hAnsi="仿宋_GB2312" w:cs="仿宋_GB2312" w:eastAsia="仿宋_GB2312"/>
                <w:sz w:val="20"/>
              </w:rPr>
              <w:t>4.提供系统故障7*24小时支持，技术问题5*8小时在线支持，网站出现紧急故障，响应时间不超过1小时，在2小时内恢复网站正常运行。技术支持人员在解决故障时，要最大限度保护好数据，做好故障恢复的文档，力争恢复到故障点前的业务状态。对于“系统瘫痪，业务系统不能运转”的故障级别，如果不能于2小时内解决故障，将在2小时内提出应急方案，确保业务系统的运行。故障解决后24小时内，提交故障处理报告。说明故障种类、故障原因、故障解决中使用的方法及故障损失等情况。</w:t>
            </w:r>
          </w:p>
          <w:p>
            <w:pPr>
              <w:pStyle w:val="null3"/>
              <w:jc w:val="both"/>
            </w:pPr>
            <w:r>
              <w:rPr>
                <w:rFonts w:ascii="仿宋_GB2312" w:hAnsi="仿宋_GB2312" w:cs="仿宋_GB2312" w:eastAsia="仿宋_GB2312"/>
                <w:sz w:val="20"/>
              </w:rPr>
              <w:t>5.人员培训</w:t>
            </w:r>
          </w:p>
          <w:p>
            <w:pPr>
              <w:pStyle w:val="null3"/>
              <w:jc w:val="both"/>
            </w:pPr>
            <w:r>
              <w:rPr>
                <w:rFonts w:ascii="仿宋_GB2312" w:hAnsi="仿宋_GB2312" w:cs="仿宋_GB2312" w:eastAsia="仿宋_GB2312"/>
                <w:sz w:val="20"/>
              </w:rPr>
              <w:t>运维过程中需要根据运维工作的需求开展相关培训工作，保证平台有效运行。对计算机使用人员来说，通过培训可以有效地提高对计算机系统的管理水平、操作水平和维护能力，从而确保计算机系统地安全运行。对管理人员和业务人员来说，经过培训，可以有效地提高对管理信息系统的管理水平、操作水平和维护能力，从而确保日常业务系统地正常运作。服务期内至少开展两次面向全市教育系统的平台技术培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1）高级管理人员</w:t>
            </w:r>
          </w:p>
          <w:p>
            <w:pPr>
              <w:pStyle w:val="null3"/>
              <w:jc w:val="both"/>
            </w:pPr>
            <w:r>
              <w:rPr>
                <w:rFonts w:ascii="仿宋_GB2312" w:hAnsi="仿宋_GB2312" w:cs="仿宋_GB2312" w:eastAsia="仿宋_GB2312"/>
                <w:sz w:val="20"/>
              </w:rPr>
              <w:t>以掌握信息系统的运营管理方法为主，了解各种先进的管理方法和管理模式，将科技手段和科学管理方法相结合，更好地进行信息化系统的管理和控制。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2）系统管理人员</w:t>
            </w:r>
          </w:p>
          <w:p>
            <w:pPr>
              <w:pStyle w:val="null3"/>
              <w:jc w:val="both"/>
            </w:pPr>
            <w:r>
              <w:rPr>
                <w:rFonts w:ascii="仿宋_GB2312" w:hAnsi="仿宋_GB2312" w:cs="仿宋_GB2312" w:eastAsia="仿宋_GB2312"/>
                <w:sz w:val="20"/>
              </w:rPr>
              <w:t>掌握设备安装与调试的方法，掌握系统初始化和主要参数设定的方法，熟悉数据备份的方法，掌握系统故障诊断和排除的方法，熟悉系统性能检测与分析的方法。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3）应用系统管理人员</w:t>
            </w:r>
          </w:p>
          <w:p>
            <w:pPr>
              <w:pStyle w:val="null3"/>
              <w:jc w:val="both"/>
            </w:pPr>
            <w:r>
              <w:rPr>
                <w:rFonts w:ascii="仿宋_GB2312" w:hAnsi="仿宋_GB2312" w:cs="仿宋_GB2312" w:eastAsia="仿宋_GB2312"/>
                <w:sz w:val="20"/>
              </w:rPr>
              <w:t>经过培训，熟练掌握对应用软件系统的维护、修改和升级等操作过程。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4）平台使用人员</w:t>
            </w:r>
          </w:p>
          <w:p>
            <w:pPr>
              <w:pStyle w:val="null3"/>
              <w:jc w:val="both"/>
            </w:pPr>
            <w:r>
              <w:rPr>
                <w:rFonts w:ascii="仿宋_GB2312" w:hAnsi="仿宋_GB2312" w:cs="仿宋_GB2312" w:eastAsia="仿宋_GB2312"/>
                <w:sz w:val="20"/>
              </w:rPr>
              <w:t>经过培训能够熟练掌握新系统的日常使用、信息发布等业务处理流程，熟练使用各种应用软件系统的计算机操作。</w:t>
            </w:r>
          </w:p>
          <w:p>
            <w:pPr>
              <w:pStyle w:val="null3"/>
              <w:jc w:val="both"/>
            </w:pPr>
            <w:r>
              <w:rPr>
                <w:rFonts w:ascii="仿宋_GB2312" w:hAnsi="仿宋_GB2312" w:cs="仿宋_GB2312" w:eastAsia="仿宋_GB2312"/>
                <w:sz w:val="20"/>
              </w:rPr>
              <w:t>6.平台迁移</w:t>
            </w:r>
          </w:p>
          <w:p>
            <w:pPr>
              <w:pStyle w:val="null3"/>
              <w:jc w:val="both"/>
            </w:pPr>
            <w:r>
              <w:rPr>
                <w:rFonts w:ascii="仿宋_GB2312" w:hAnsi="仿宋_GB2312" w:cs="仿宋_GB2312" w:eastAsia="仿宋_GB2312"/>
                <w:sz w:val="20"/>
              </w:rPr>
              <w:t>配合完成平台上云过程中的相关工作，包括制定迁移计划和方案，以及资源迁移、代码改造、数据备份、应急等工作。云资源租用费用须包含在本项目总报价中；若发生数据迁移，须保证平台完整无缝迁移，费用也应包含在本项目总报价中。</w:t>
            </w:r>
          </w:p>
          <w:p>
            <w:pPr>
              <w:pStyle w:val="null3"/>
              <w:jc w:val="both"/>
            </w:pPr>
            <w:r>
              <w:rPr>
                <w:rFonts w:ascii="仿宋_GB2312" w:hAnsi="仿宋_GB2312" w:cs="仿宋_GB2312" w:eastAsia="仿宋_GB2312"/>
                <w:sz w:val="20"/>
              </w:rPr>
              <w:t>7.验收及绩效</w:t>
            </w:r>
          </w:p>
          <w:p>
            <w:pPr>
              <w:pStyle w:val="null3"/>
              <w:jc w:val="both"/>
            </w:pPr>
            <w:r>
              <w:rPr>
                <w:rFonts w:ascii="仿宋_GB2312" w:hAnsi="仿宋_GB2312" w:cs="仿宋_GB2312" w:eastAsia="仿宋_GB2312"/>
                <w:sz w:val="20"/>
              </w:rPr>
              <w:t>配合完成项目服务验收和绩效。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本项目运行维护期限为：一年（起止时间以双方签订合同时约定的时间为准）。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1.为确保项目的有效性和持续性，本项目还将进行绩效评估与验收。绩效评估工作将贯穿项目的全过程，包括中期和终验两个阶段。考核未达标，将对供应商进行处罚（处罚合同金额的30%）。 （1）中期验收 2026年4月底前，进行项目的中期验收。中期验收的主要目的是评估项目的进展情况，检查供应商是否按照合同要求完成了阶段性的工作成果。验收工作将由采购人组织，邀请项目专家和相关技术人员共同参与。验收内容包括但不限于：项目文档的完整性、系统功能的实现情况、运维服务的执行效果等。验收过程中，将严格遵循客观、公正、科学的原则，确保验收结果的准确性和有效性。 （2）终验 2026年9月底前，进行项目的终验。终验是对项目整体成果的最终检验，旨在确保供应商按期完成了本项目所有服务内容，并达到了合同约定的质量标准。终验工作将由采购人组织，邀请项目专家、技术人员以及用户代表共同参与。验收过程将全面、细致地对项目成果进行检查和评价，确保项目目标的全面实现。 2.绩效评估表 绩效评估表详见附件。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线下递交响应文件地点：西安市雁塔区科技二路71号竹园·天寰国际1107室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提供2024年度经审计的完整有效财务报告，或其响应文件递交截止时间前三个月内基本开户银行出具的资信证明，或财政部门认可的政府采购专业担保机构出具的担保函（以上三种任意一项即可）。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提供自2024年8月1日以来已缴存的任意1个月的社会保障资金缴存单据或社保机构开具的社会保险参保缴费情况证明；依法不需要缴纳社会保障资金的供应商应提供相关证明文件。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提供自2024年8月1日以来已缴纳的任意1个月的依法缴纳税收的相关凭据(时间以税款所属日期为准)，凭据应有税务机关或代收机关的公章或业务专用章；依法免税或无须缴纳税收的供应商，应提供相应证明文件。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中小企业声明函 商务要求应答表.docx 其他材料及供应商认为有必要说明、阐述的事项.docx 响应文件封面 一般资格要求及特殊资格要求.docx 服务内容及要求应答表.docx 供应商廉洁自律承诺书.docx 供应商企业关系关联承诺书.docx 残疾人福利性单位声明函 标的清单 响应函 监狱企业的证明文件 总服务方案.docx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业绩一览表.docx 中小企业声明函 商务要求应答表.docx 其他材料及供应商认为有必要说明、阐述的事项.docx 响应文件封面 一般资格要求及特殊资格要求.docx 服务内容及要求应答表.docx 供应商廉洁自律承诺书.docx 供应商企业关系关联承诺书.docx 残疾人福利性单位声明函 标的清单 响应函 监狱企业的证明文件 总服务方案.docx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项目需求理解与重难点分析</w:t>
            </w:r>
          </w:p>
        </w:tc>
        <w:tc>
          <w:tcPr>
            <w:tcW w:type="dxa" w:w="2492"/>
          </w:tcPr>
          <w:p>
            <w:pPr>
              <w:pStyle w:val="null3"/>
            </w:pPr>
            <w:r>
              <w:rPr>
                <w:rFonts w:ascii="仿宋_GB2312" w:hAnsi="仿宋_GB2312" w:cs="仿宋_GB2312" w:eastAsia="仿宋_GB2312"/>
              </w:rPr>
              <w:t>供应商对本项目的项目理解与重难点分析（包括但不限于本次项目工作的①服务目标及内容；②服务重点；③服务难点）等进行描述。 以上内容完整、不存在瑕疵，得6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针对本项目采购内容，供应商提供对详细的技术服务方案（包括但不限于①平台云资源支撑；②平台运行维护；③平台集成运行维护；④平台安全运维；⑤业务应用运维；⑥数据库运维；⑦数据治理等）进行描述。 二、评审标准 1.完整性：内容全面，对评审内容中的各项要求有详细描述； 2.可实施性：切合本项目实际情况，实施步骤清晰合理； 3.针对性：内容科学合理，能够紧扣项目实际情况。 三、赋分标准（满分42分） ①平台云资源支撑：每满足一个评审标准得2分，对该评审标准的响应内容模糊或存在缺陷得1分，未提供或完全无法满足该评审标准得0分。（满分6分） ②平台运行维护：每满足一个评审标准得2分，对该评审标准的响应内容模糊或存在缺陷得1分，未提供或完全无法满足该评审标准得0分。（满分6分） ③平台集成运行维护：每满足一个评审标准得2分，对该评审标准的响应内容模糊或存在缺陷得1分，未提供或完全无法满足该评审标准得0分。（满分6分） ④平台安全运维：每满足一个评审标准得2分，对该评审标准的响应内容模糊或存在缺陷得1分，未提供或完全无法满足该评审标准得0分。（满分6分） ⑤业务应用运维：每满足一个评审标准得2分，对该评审标准的响应内容模糊或存在缺陷得1分，未提供或完全无法满足该评审标准得0分。（满分6分） ⑥数据库运维：每满足一个评审标准得2分，对该评审标准的响应内容模糊或存在缺陷得1分，未提供或完全无法满足该评审标准得0分。（满分6分） ⑦数据治理：每满足一个评审标准得2分，对该评审标准的响应内容模糊或存在缺陷得1分，未提供或完全无法满足该评审标准得0分。（满分6分）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针对本项目采购内容，供应商提供对详细的培训方案（包括但不限于①培训计划；②培训方法；③培训内容等）进行描述。 以上内容完整、不存在瑕疵，得6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针对本项目制定完善的质量保障措施。 二、评审标准 1.完整性：内容全面，对评审内容中的各项要求有详细描述； 2.可实施性：切合本项目实际情况，实施步骤清晰合理； 3.针对性：内容科学合理，能够紧扣项目实际情况。 三、赋分标准（满分6分） 质量保障措施：每满足一个评审标准得2分，对该评审标准的响应内容模糊或存在缺陷得1分，未提供或完全无法满足该评审标准得0分。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人员配备方案1</w:t>
            </w:r>
          </w:p>
        </w:tc>
        <w:tc>
          <w:tcPr>
            <w:tcW w:type="dxa" w:w="2492"/>
          </w:tcPr>
          <w:p>
            <w:pPr>
              <w:pStyle w:val="null3"/>
            </w:pPr>
            <w:r>
              <w:rPr>
                <w:rFonts w:ascii="仿宋_GB2312" w:hAnsi="仿宋_GB2312" w:cs="仿宋_GB2312" w:eastAsia="仿宋_GB2312"/>
              </w:rPr>
              <w:t>1.根据项目特点设置项目组织机构并配备相应的运维人员，所配备运维人员需覆盖网络、通信、安全、运维相关专业，列出项目组织机构图，明确人员职责，运维人员包含项目经理不少于8人，列出运维人员技能，专家根据所配人员综合赋分（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人员配备方案2</w:t>
            </w:r>
          </w:p>
        </w:tc>
        <w:tc>
          <w:tcPr>
            <w:tcW w:type="dxa" w:w="2492"/>
          </w:tcPr>
          <w:p>
            <w:pPr>
              <w:pStyle w:val="null3"/>
            </w:pPr>
            <w:r>
              <w:rPr>
                <w:rFonts w:ascii="仿宋_GB2312" w:hAnsi="仿宋_GB2312" w:cs="仿宋_GB2312" w:eastAsia="仿宋_GB2312"/>
              </w:rPr>
              <w:t>2.项目管理人员： ①具有本科及以上学历，得2分；（提供相关证明材料） ②具有信息系统项目管理师，得2分。（提供相关证明材料）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人员配备方案3</w:t>
            </w:r>
          </w:p>
        </w:tc>
        <w:tc>
          <w:tcPr>
            <w:tcW w:type="dxa" w:w="2492"/>
          </w:tcPr>
          <w:p>
            <w:pPr>
              <w:pStyle w:val="null3"/>
            </w:pPr>
            <w:r>
              <w:rPr>
                <w:rFonts w:ascii="仿宋_GB2312" w:hAnsi="仿宋_GB2312" w:cs="仿宋_GB2312" w:eastAsia="仿宋_GB2312"/>
              </w:rPr>
              <w:t>3.其他运维人员：需提供本科及以上学历证明，并提供相关专业中级及以上职称证书或相关专业中级及以上工程师资格证书，每配备一个合格人员，得1分，最高得7分（1人持多证仅按1个岗位角色计算）。</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供应商对本项目的应急预案（包括但不限于①响应时间；②可能遇到的紧急情况及应急响应流程、方案；③事后分析与改进措施等）进行赋分。 以上内容完整、不存在瑕疵，得9分；每缺一项扣3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供应商2022年8月1日至今承担过类似项目业绩，每提供1份类似项目业绩得1分，最高得6分。弄虚作假者，取消其成交资格。（以加盖供应商公章的合同扫描件为准，日期以合同签订日期为准）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满足磋商文件要求且磋商总报价最低为评审基准价，其价格分为满分。 报价得分=（评审基准价／最终报价）×权值×100。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详见附件：一般资格要求及特殊资格要求.docx</w:t>
      </w:r>
    </w:p>
    <w:p>
      <w:pPr>
        <w:pStyle w:val="null3"/>
        <w:ind w:firstLine="960"/>
      </w:pPr>
      <w:r>
        <w:rPr>
          <w:rFonts w:ascii="仿宋_GB2312" w:hAnsi="仿宋_GB2312" w:cs="仿宋_GB2312" w:eastAsia="仿宋_GB2312"/>
        </w:rPr>
        <w:t>详见附件：总服务方案.docx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