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国际化课程标准资源装备建设</w:t>
      </w:r>
      <w:r>
        <w:rPr>
          <w:rFonts w:hint="eastAsia" w:ascii="方正小标宋简体" w:hAnsi="宋体" w:eastAsia="方正小标宋简体" w:cs="宋体"/>
          <w:b/>
          <w:spacing w:val="-42"/>
          <w:sz w:val="52"/>
          <w:szCs w:val="52"/>
          <w:u w:val="single"/>
          <w:lang w:val="en-US" w:eastAsia="zh-CN"/>
        </w:rPr>
        <w:t>-</w:t>
      </w:r>
      <w:r>
        <w:rPr>
          <w:rFonts w:hint="eastAsia" w:ascii="方正小标宋简体" w:hAnsi="宋体" w:eastAsia="方正小标宋简体" w:cs="宋体"/>
          <w:b/>
          <w:spacing w:val="-42"/>
          <w:sz w:val="52"/>
          <w:szCs w:val="52"/>
          <w:u w:val="single"/>
        </w:rPr>
        <w:t xml:space="preserve">国际化课程标准资源建设项目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2" w:firstLineChars="550"/>
        <w:rPr>
          <w:rFonts w:hint="eastAsia" w:ascii="方正小标宋简体" w:hAnsi="宋体" w:eastAsia="方正小标宋简体" w:cs="仿宋"/>
          <w:b/>
          <w:sz w:val="32"/>
          <w:szCs w:val="32"/>
        </w:rPr>
      </w:pPr>
    </w:p>
    <w:p w14:paraId="4B0EC430">
      <w:pPr>
        <w:pStyle w:val="5"/>
        <w:ind w:firstLine="0" w:firstLineChars="0"/>
      </w:pPr>
    </w:p>
    <w:p w14:paraId="10893A2F">
      <w:pPr>
        <w:spacing w:line="360" w:lineRule="auto"/>
        <w:ind w:left="1260" w:firstLine="420"/>
        <w:rPr>
          <w:rFonts w:hint="default"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项目编号：HZ-FWZB-2025-012</w:t>
      </w:r>
      <w:r>
        <w:rPr>
          <w:rFonts w:hint="eastAsia" w:ascii="方正小标宋简体" w:hAnsi="宋体" w:eastAsia="方正小标宋简体" w:cs="仿宋"/>
          <w:b/>
          <w:sz w:val="32"/>
          <w:szCs w:val="32"/>
          <w:lang w:val="en-US" w:eastAsia="zh-CN"/>
        </w:rPr>
        <w:t>-1</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2"/>
        <w:rPr>
          <w:rFonts w:ascii="方正小标宋简体" w:eastAsia="方正小标宋简体"/>
        </w:rPr>
      </w:pPr>
    </w:p>
    <w:p w14:paraId="334531EF">
      <w:pPr>
        <w:pStyle w:val="12"/>
        <w:rPr>
          <w:rFonts w:ascii="方正小标宋简体" w:eastAsia="方正小标宋简体"/>
        </w:rPr>
      </w:pPr>
    </w:p>
    <w:p w14:paraId="009975A5">
      <w:pPr>
        <w:pStyle w:val="12"/>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5"/>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国际化课程标准资源装备建设-国际化课程标准资源建设项目   </w:t>
      </w:r>
      <w:r>
        <w:rPr>
          <w:rFonts w:hint="eastAsia" w:ascii="宋体" w:hAnsi="宋体" w:cs="宋体"/>
          <w:szCs w:val="24"/>
        </w:rPr>
        <w:t>项目，(项目编号：</w:t>
      </w:r>
      <w:r>
        <w:rPr>
          <w:rFonts w:hint="eastAsia" w:ascii="宋体" w:hAnsi="宋体" w:cs="宋体"/>
          <w:szCs w:val="24"/>
          <w:u w:val="single"/>
        </w:rPr>
        <w:t xml:space="preserve"> HZ-FWZB-2025-012</w:t>
      </w:r>
      <w:r>
        <w:rPr>
          <w:rFonts w:hint="eastAsia" w:ascii="宋体" w:hAnsi="宋体" w:cs="宋体"/>
          <w:szCs w:val="24"/>
          <w:u w:val="single"/>
          <w:lang w:val="en-US" w:eastAsia="zh-CN"/>
        </w:rPr>
        <w:t>-1</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陕西恒信项目管理有限公司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26879"/>
      <w:bookmarkStart w:id="2" w:name="_Toc193187095"/>
      <w:bookmarkStart w:id="3" w:name="_Toc194663916"/>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1EEE33D6">
      <w:pPr>
        <w:spacing w:line="480" w:lineRule="exact"/>
        <w:ind w:firstLine="566" w:firstLineChars="236"/>
        <w:rPr>
          <w:rFonts w:hint="eastAsia" w:ascii="宋体" w:hAnsi="宋体" w:cs="宋体"/>
          <w:szCs w:val="24"/>
        </w:rPr>
      </w:pPr>
      <w:r>
        <w:rPr>
          <w:rFonts w:hint="eastAsia" w:ascii="宋体" w:hAnsi="宋体" w:cs="宋体"/>
          <w:szCs w:val="24"/>
        </w:rPr>
        <w:t>本项目合同签订后10个工作日中标方出具正规发票，招标方支付合同金额的60%；成果交付、验收合格，支付尾款40%。</w:t>
      </w:r>
    </w:p>
    <w:p w14:paraId="6ED49496">
      <w:pPr>
        <w:spacing w:line="480" w:lineRule="exact"/>
        <w:ind w:firstLine="566" w:firstLineChars="236"/>
        <w:rPr>
          <w:rFonts w:hint="eastAsia" w:ascii="宋体" w:hAnsi="宋体" w:cs="宋体"/>
          <w:szCs w:val="24"/>
        </w:rPr>
      </w:pPr>
      <w:r>
        <w:rPr>
          <w:rFonts w:hint="eastAsia" w:ascii="宋体" w:hAnsi="宋体" w:cs="宋体"/>
          <w:szCs w:val="24"/>
          <w:lang w:eastAsia="zh-CN"/>
        </w:rPr>
        <w:t>注：</w:t>
      </w:r>
      <w:r>
        <w:rPr>
          <w:rFonts w:hint="eastAsia" w:ascii="宋体" w:hAnsi="宋体" w:cs="宋体"/>
          <w:szCs w:val="24"/>
        </w:rPr>
        <w:t>中标方应于招标方每次付款前向其开具合法有效的等额增值税发票，中标方未开具发票或开具发票不符合要求的，招标方有权拒绝付款且不产生任何违约责任。</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服务期限为1年，自合同签署之日起。</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2"/>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5"/>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01DA6A0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（一）专业教学标准国际合作开发与落地（轨道交通类）</w:t>
      </w:r>
    </w:p>
    <w:p w14:paraId="3322F27A">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本校与哈萨克斯坦教育部及其下属职业教育管理机构、职业技术院校建立合作，并认证轨道交通类专业教学标准。标准将获得哈方教育部职业教育管理机构认证，并在当地职业技术院校中推广应用。本期拟完成1项专业教学标准的开发与认证。</w:t>
      </w:r>
    </w:p>
    <w:p w14:paraId="5EBCFAED">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服务内容如下：</w:t>
      </w:r>
    </w:p>
    <w:p w14:paraId="12F34751">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1、前期调研与需求分析</w:t>
      </w:r>
    </w:p>
    <w:p w14:paraId="1A03B38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组织中哈双方调研会议，邀请哈萨克斯坦职业教育领域的专家、院校教师、行业协会等参与；</w:t>
      </w:r>
    </w:p>
    <w:p w14:paraId="1B0A6E3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了解哈萨克斯坦职业教育体系、专业架构、教学标准体系及开发流程；</w:t>
      </w:r>
    </w:p>
    <w:p w14:paraId="7A326A8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梳理目标专业的技能要求、职业标准、培养目标及哈萨克斯坦本地政策法规。</w:t>
      </w:r>
    </w:p>
    <w:p w14:paraId="7B2E7CC2">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2、标准开发研讨会组织</w:t>
      </w:r>
    </w:p>
    <w:p w14:paraId="4175211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组织系列联合研讨会，邀请哈萨克斯坦教育部代表、职业教育管理机构专家、院校代表，与中方开发团队共同论证标准架构与核心内容；</w:t>
      </w:r>
    </w:p>
    <w:p w14:paraId="4582C6D2">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确定标准开发方法、关键指标及语言适配要求。</w:t>
      </w:r>
    </w:p>
    <w:p w14:paraId="451235DD">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3、标准内容编制与本地化翻译</w:t>
      </w:r>
    </w:p>
    <w:p w14:paraId="66A9356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组建中哈联合标准开发专家团队，完成标准文本内容的共同起草；</w:t>
      </w:r>
    </w:p>
    <w:p w14:paraId="047198C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以西安铁路职业技术学院现有成果积累为基础，专家组一起共同输出的国家标准内容，组织专业翻译团队将内容翻译为哈萨克语或俄语，确保语言与专业术语准确无误；</w:t>
      </w:r>
    </w:p>
    <w:p w14:paraId="14FE587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同时结合国际标准和哈萨斯坦职业教育需求现状，进行本地化调整，符合哈方标准规范。</w:t>
      </w:r>
    </w:p>
    <w:p w14:paraId="7C94AF1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4、专家评审与完善</w:t>
      </w:r>
    </w:p>
    <w:p w14:paraId="6F0DC15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组织哈萨克斯坦职业教育专家委员会，对标准内容进行正式评审；</w:t>
      </w:r>
    </w:p>
    <w:p w14:paraId="7DC04661">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输出书面评审意见，并根据专家反馈进行修改、必要时组织第二轮评审。</w:t>
      </w:r>
    </w:p>
    <w:p w14:paraId="5458F49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5、标准认证支持</w:t>
      </w:r>
    </w:p>
    <w:p w14:paraId="73AC40B6">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向哈萨克斯坦教育部或其授权认证机构提交标准材料，完成认证流程；</w:t>
      </w:r>
    </w:p>
    <w:p w14:paraId="323B69A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获取正式的哈萨克斯坦教育主管部门的认证证书。</w:t>
      </w:r>
    </w:p>
    <w:p w14:paraId="2C4FDAF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6、师资培训与标准推广</w:t>
      </w:r>
    </w:p>
    <w:p w14:paraId="0E91212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负责中方教师在哈萨克斯坦进行授课培训与标准推广，培训对象包括哈方院校教师、教育主管部门代表、行业协会等，不少于10人；</w:t>
      </w:r>
    </w:p>
    <w:p w14:paraId="70B0ED8A">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推动不少于1所哈萨克斯坦职业技术院校正式采纳该标准，并获取书面接收函。</w:t>
      </w:r>
    </w:p>
    <w:p w14:paraId="61D96DC0">
      <w:pPr>
        <w:pStyle w:val="13"/>
        <w:spacing w:line="460" w:lineRule="exact"/>
        <w:ind w:left="0" w:firstLine="560" w:firstLineChars="200"/>
        <w:jc w:val="both"/>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（二）数字课程资源适配与推广应用（轨道交通类）</w:t>
      </w:r>
    </w:p>
    <w:p w14:paraId="6D544B1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助西安铁路职业技术学院以现有优质课程资源为基础，结合哈萨克斯坦职业的本地化需求，打造国际化的数字课程资源，并上线至哈萨克斯坦教育部认可的数字化平台，推动课程在哈国职业教育体系中应用。本期计划完成1门课程的哈萨克斯坦本地化开发与推广。</w:t>
      </w:r>
    </w:p>
    <w:p w14:paraId="55D1CA9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服务内容如下：</w:t>
      </w:r>
    </w:p>
    <w:p w14:paraId="6C55A18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1、国际化适配与联合开发</w:t>
      </w:r>
    </w:p>
    <w:p w14:paraId="2C219081">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由哈萨克斯坦教育部或下属机构指定合作职业技术学校，与中方团队开展课程资源本地化合作；</w:t>
      </w:r>
    </w:p>
    <w:p w14:paraId="1EB1790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课程内容包括教学视频、PPT、课件、课堂作业、测试题等，翻译为哈萨克语或俄语，并结合哈萨克斯坦职业教育需求进行适配优化。</w:t>
      </w:r>
    </w:p>
    <w:p w14:paraId="197C1AE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2、专家审核与意见反馈</w:t>
      </w:r>
    </w:p>
    <w:p w14:paraId="49207C8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协调哈萨克斯坦教育专家委员会对课程内容进行系统审核；</w:t>
      </w:r>
    </w:p>
    <w:p w14:paraId="7E5585B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出具书面审核意见，完成内容修订及确认。</w:t>
      </w:r>
    </w:p>
    <w:p w14:paraId="31F73B9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3、平台上线与技术对接</w:t>
      </w:r>
    </w:p>
    <w:p w14:paraId="74B694D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协助将国际化精品课程资源上线至哈萨克斯坦教育部认可的数字化平台；</w:t>
      </w:r>
    </w:p>
    <w:p w14:paraId="1B787BF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确保所有内容格式、交互方式符合哈萨克斯坦职业教育平台的技术要求。</w:t>
      </w:r>
    </w:p>
    <w:p w14:paraId="7838320E">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4、课程培训与推广应用</w:t>
      </w:r>
    </w:p>
    <w:p w14:paraId="1EE52AF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负责中方课程开发专家教师在哈萨克斯坦进进行授课培训，培训人数不少于15人，涵盖哈方院校教师、学生及教育主管机构代表；</w:t>
      </w:r>
    </w:p>
    <w:p w14:paraId="58AD09B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协调不少于1所职业技术学校将本课程纳入教学计划，并获取接收证明材料。</w:t>
      </w:r>
    </w:p>
    <w:p w14:paraId="015B5541">
      <w:pPr>
        <w:pStyle w:val="13"/>
        <w:spacing w:line="460" w:lineRule="exact"/>
        <w:ind w:left="0" w:firstLine="560" w:firstLineChars="200"/>
        <w:jc w:val="both"/>
        <w:outlineLvl w:val="9"/>
        <w:rPr>
          <w:rFonts w:hint="eastAsia" w:ascii="仿宋" w:hAnsi="仿宋" w:eastAsia="仿宋" w:cs="仿宋"/>
          <w:sz w:val="28"/>
          <w:szCs w:val="28"/>
          <w:highlight w:val="yellow"/>
          <w:lang w:eastAsia="zh-CN"/>
        </w:rPr>
      </w:pPr>
    </w:p>
    <w:p w14:paraId="27E25DEE">
      <w:pPr>
        <w:pStyle w:val="13"/>
        <w:spacing w:line="460" w:lineRule="exact"/>
        <w:ind w:left="0" w:firstLine="560" w:firstLineChars="200"/>
        <w:jc w:val="both"/>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（三）数字教材联合开发、</w:t>
      </w:r>
      <w:r>
        <w:rPr>
          <w:rFonts w:hint="eastAsia" w:ascii="仿宋" w:hAnsi="仿宋" w:eastAsia="仿宋" w:cs="仿宋"/>
          <w:sz w:val="28"/>
          <w:szCs w:val="28"/>
          <w:highlight w:val="none"/>
          <w:lang w:val="en-US" w:eastAsia="zh-CN"/>
        </w:rPr>
        <w:t>国际</w:t>
      </w:r>
      <w:r>
        <w:rPr>
          <w:rFonts w:hint="eastAsia" w:ascii="仿宋" w:hAnsi="仿宋" w:eastAsia="仿宋" w:cs="仿宋"/>
          <w:sz w:val="28"/>
          <w:szCs w:val="28"/>
          <w:highlight w:val="none"/>
          <w:lang w:eastAsia="zh-CN"/>
        </w:rPr>
        <w:t>出版与推广（</w:t>
      </w:r>
      <w:r>
        <w:rPr>
          <w:rFonts w:hint="eastAsia" w:ascii="仿宋" w:hAnsi="仿宋" w:eastAsia="仿宋" w:cs="仿宋"/>
          <w:sz w:val="28"/>
          <w:szCs w:val="28"/>
          <w:highlight w:val="none"/>
          <w:lang w:val="en-US" w:eastAsia="zh-CN"/>
        </w:rPr>
        <w:t>轨道交通</w:t>
      </w:r>
      <w:r>
        <w:rPr>
          <w:rFonts w:hint="eastAsia" w:ascii="仿宋" w:hAnsi="仿宋" w:eastAsia="仿宋" w:cs="仿宋"/>
          <w:sz w:val="28"/>
          <w:szCs w:val="28"/>
          <w:highlight w:val="none"/>
          <w:lang w:eastAsia="zh-CN"/>
        </w:rPr>
        <w:t>类）</w:t>
      </w:r>
    </w:p>
    <w:p w14:paraId="323A3999">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联合哈萨克斯坦教育部及其下属职业技术院校，按照哈萨克斯坦职业教育教材开发规范，共同完成2门铁路类数字教材的开发、审定、出版与使用推广。</w:t>
      </w:r>
    </w:p>
    <w:p w14:paraId="7EC0622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服务内容如下：</w:t>
      </w:r>
    </w:p>
    <w:p w14:paraId="35828A3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1、前期调研与需求对接</w:t>
      </w:r>
    </w:p>
    <w:p w14:paraId="6BFDFF07">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组织中哈双方专家开展需求调研，明确教材适用专业、目标读者、语言版本、教学场景、行业匹配度等核心要求；</w:t>
      </w:r>
    </w:p>
    <w:p w14:paraId="0A2DAA9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初步确立教材框架结构与功能定位。</w:t>
      </w:r>
    </w:p>
    <w:p w14:paraId="14F5AD2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2、立项申报与合作</w:t>
      </w:r>
    </w:p>
    <w:p w14:paraId="681A0709">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协助中方完成教材在哈萨克斯坦的开发立项流程；</w:t>
      </w:r>
    </w:p>
    <w:p w14:paraId="2FFFC22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哈萨克斯坦教育主管部门提供配合开发教材的哈方职业技术学校。</w:t>
      </w:r>
    </w:p>
    <w:p w14:paraId="4DF5369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3、教材内容开发与翻译</w:t>
      </w:r>
    </w:p>
    <w:p w14:paraId="533B9306">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组建中哈国际教材联合编纂团队，共同完成教材初稿编纂；</w:t>
      </w:r>
    </w:p>
    <w:p w14:paraId="2F84340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 xml:space="preserve">有专业领域专家将教材中文内容翻译为哈萨克语或俄语。 </w:t>
      </w:r>
    </w:p>
    <w:p w14:paraId="7DCDE5FB">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4、专家评审与质量控制</w:t>
      </w:r>
    </w:p>
    <w:p w14:paraId="5EFCD9C6">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完成初稿后组织专家评审会，邀请哈萨克斯坦职业教育专家、出版社、行业企业代表等参与评议；</w:t>
      </w:r>
    </w:p>
    <w:p w14:paraId="253B6A0E">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汇总评审意见并修订教材内容，形成定稿。</w:t>
      </w:r>
    </w:p>
    <w:p w14:paraId="73606EDA">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5、试用实施与反馈优化</w:t>
      </w:r>
    </w:p>
    <w:p w14:paraId="5589A43E">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选定不少于1所哈萨克斯坦职业技术学校进行试用，收集使用反馈；</w:t>
      </w:r>
    </w:p>
    <w:p w14:paraId="1C6ED2E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形成试用报告，并据此对教材进行优化修订。</w:t>
      </w:r>
    </w:p>
    <w:p w14:paraId="629D2BAD">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6、教材批准与编号注册</w:t>
      </w:r>
    </w:p>
    <w:p w14:paraId="42A1643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协调哈方教育主管部门完成教材审批流程，获取教材使用批准函和数字教材注册编号；</w:t>
      </w:r>
    </w:p>
    <w:p w14:paraId="7F700E3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7、出版发布与培训推广</w:t>
      </w:r>
    </w:p>
    <w:p w14:paraId="08DF73F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协调哈萨克斯坦数字教材平台或出版机构完成教材出版；</w:t>
      </w:r>
    </w:p>
    <w:p w14:paraId="7F71500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负责中方教师在哈开展教材培训，至少举行1次培训班，参与教师数量不少于10人；</w:t>
      </w:r>
    </w:p>
    <w:p w14:paraId="39171ED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推动不少于1所哈萨克斯坦职业院校将教材纳入教学体系，并获取教材采纳证明文件。</w:t>
      </w:r>
    </w:p>
    <w:p w14:paraId="177FA274"/>
    <w:p w14:paraId="558EDCEF">
      <w:pPr>
        <w:pStyle w:val="2"/>
      </w:pPr>
    </w:p>
    <w:p w14:paraId="62F21C4D">
      <w:pPr>
        <w:pStyle w:val="5"/>
      </w:pPr>
    </w:p>
    <w:p w14:paraId="36886AB8">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7EF8BB2D">
      <w:pPr>
        <w:jc w:val="center"/>
        <w:rPr>
          <w:rFonts w:hint="eastAsia" w:ascii="方正小标宋简体" w:hAnsi="宋体" w:eastAsia="方正小标宋简体" w:cs="宋体"/>
          <w:b/>
          <w:kern w:val="0"/>
          <w:sz w:val="52"/>
          <w:szCs w:val="52"/>
        </w:rPr>
      </w:pPr>
    </w:p>
    <w:p w14:paraId="6C607251">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268396241"/>
        </w:rPr>
        <w:t>西安铁路职业技术学</w:t>
      </w:r>
      <w:r>
        <w:rPr>
          <w:rFonts w:hint="eastAsia" w:ascii="方正小标宋简体" w:hAnsi="宋体" w:eastAsia="方正小标宋简体" w:cs="宋体"/>
          <w:b/>
          <w:spacing w:val="0"/>
          <w:kern w:val="0"/>
          <w:sz w:val="52"/>
          <w:szCs w:val="52"/>
          <w:fitText w:val="5957" w:id="1268396241"/>
        </w:rPr>
        <w:t>院</w:t>
      </w:r>
    </w:p>
    <w:p w14:paraId="72F48CBB">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国际化课程标准资源装备建设</w:t>
      </w:r>
      <w:r>
        <w:rPr>
          <w:rFonts w:hint="eastAsia" w:ascii="方正小标宋简体" w:hAnsi="宋体" w:eastAsia="方正小标宋简体" w:cs="宋体"/>
          <w:b/>
          <w:spacing w:val="-42"/>
          <w:sz w:val="52"/>
          <w:szCs w:val="52"/>
          <w:u w:val="single"/>
          <w:lang w:val="en-US" w:eastAsia="zh-CN"/>
        </w:rPr>
        <w:t>-</w:t>
      </w:r>
      <w:r>
        <w:rPr>
          <w:rFonts w:hint="eastAsia" w:ascii="方正小标宋简体" w:hAnsi="宋体" w:eastAsia="方正小标宋简体" w:cs="宋体"/>
          <w:b/>
          <w:spacing w:val="-42"/>
          <w:sz w:val="52"/>
          <w:szCs w:val="52"/>
          <w:u w:val="single"/>
        </w:rPr>
        <w:t>造价工程师标准和教学装备出海项目</w:t>
      </w:r>
      <w:bookmarkStart w:id="6" w:name="_GoBack"/>
      <w:bookmarkEnd w:id="6"/>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3E1E2B6C">
      <w:pPr>
        <w:spacing w:line="560" w:lineRule="exact"/>
        <w:ind w:left="-1026" w:leftChars="-428" w:hanging="1"/>
        <w:jc w:val="center"/>
        <w:rPr>
          <w:rFonts w:hint="eastAsia" w:ascii="方正小标宋简体" w:hAnsi="宋体" w:eastAsia="方正小标宋简体" w:cs="仿宋"/>
          <w:b/>
          <w:sz w:val="52"/>
          <w:szCs w:val="52"/>
        </w:rPr>
      </w:pPr>
    </w:p>
    <w:p w14:paraId="2C341930">
      <w:pPr>
        <w:tabs>
          <w:tab w:val="left" w:pos="7815"/>
        </w:tabs>
        <w:spacing w:line="1100" w:lineRule="exact"/>
        <w:jc w:val="left"/>
        <w:rPr>
          <w:rFonts w:hint="eastAsia" w:ascii="方正小标宋简体" w:hAnsi="宋体" w:eastAsia="方正小标宋简体" w:cs="仿宋"/>
          <w:b/>
          <w:sz w:val="52"/>
          <w:szCs w:val="52"/>
        </w:rPr>
      </w:pPr>
    </w:p>
    <w:p w14:paraId="0C9D567C">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39346358"/>
        </w:rPr>
        <w:t>服务合</w:t>
      </w:r>
      <w:r>
        <w:rPr>
          <w:rFonts w:hint="eastAsia" w:ascii="方正小标宋简体" w:hAnsi="宋体" w:eastAsia="方正小标宋简体" w:cs="仿宋"/>
          <w:b/>
          <w:spacing w:val="2"/>
          <w:kern w:val="0"/>
          <w:sz w:val="72"/>
          <w:szCs w:val="72"/>
          <w:fitText w:val="4337" w:id="1739346358"/>
        </w:rPr>
        <w:t>同</w:t>
      </w:r>
    </w:p>
    <w:p w14:paraId="3ECF4D08">
      <w:pPr>
        <w:spacing w:line="360" w:lineRule="auto"/>
        <w:ind w:firstLine="1762" w:firstLineChars="550"/>
        <w:rPr>
          <w:rFonts w:hint="eastAsia" w:ascii="方正小标宋简体" w:hAnsi="宋体" w:eastAsia="方正小标宋简体" w:cs="仿宋"/>
          <w:b/>
          <w:sz w:val="32"/>
          <w:szCs w:val="32"/>
        </w:rPr>
      </w:pPr>
    </w:p>
    <w:p w14:paraId="088CA44D">
      <w:pPr>
        <w:pStyle w:val="5"/>
        <w:ind w:firstLine="0" w:firstLineChars="0"/>
      </w:pPr>
    </w:p>
    <w:p w14:paraId="3F9E7EE5">
      <w:pPr>
        <w:spacing w:line="360" w:lineRule="auto"/>
        <w:ind w:left="1260" w:firstLine="420"/>
        <w:rPr>
          <w:rFonts w:hint="default"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项目编号：HZ-FWZB-2025-012</w:t>
      </w:r>
      <w:r>
        <w:rPr>
          <w:rFonts w:hint="eastAsia" w:ascii="方正小标宋简体" w:hAnsi="宋体" w:eastAsia="方正小标宋简体" w:cs="仿宋"/>
          <w:b/>
          <w:sz w:val="32"/>
          <w:szCs w:val="32"/>
          <w:lang w:val="en-US" w:eastAsia="zh-CN"/>
        </w:rPr>
        <w:t>-2</w:t>
      </w:r>
    </w:p>
    <w:p w14:paraId="3B9980D1">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 xml:space="preserve">合同编号：    </w:t>
      </w:r>
    </w:p>
    <w:p w14:paraId="5AD9789C">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5CA9658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3F846A05">
      <w:pPr>
        <w:pStyle w:val="12"/>
        <w:rPr>
          <w:rFonts w:ascii="方正小标宋简体" w:eastAsia="方正小标宋简体"/>
        </w:rPr>
      </w:pPr>
    </w:p>
    <w:p w14:paraId="753B579B">
      <w:pPr>
        <w:pStyle w:val="12"/>
        <w:rPr>
          <w:rFonts w:ascii="方正小标宋简体" w:eastAsia="方正小标宋简体"/>
        </w:rPr>
      </w:pPr>
    </w:p>
    <w:p w14:paraId="6B18E96A">
      <w:pPr>
        <w:pStyle w:val="12"/>
        <w:rPr>
          <w:rFonts w:ascii="方正小标宋简体" w:eastAsia="方正小标宋简体"/>
        </w:rPr>
      </w:pPr>
    </w:p>
    <w:p w14:paraId="1C35D287">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4A4DE297">
      <w:pPr>
        <w:pStyle w:val="5"/>
        <w:ind w:firstLine="210"/>
      </w:pPr>
      <w:r>
        <w:rPr>
          <w:rFonts w:hint="eastAsia"/>
        </w:rPr>
        <w:br w:type="page"/>
      </w:r>
    </w:p>
    <w:p w14:paraId="5A5BB5C2">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2A0FA464">
      <w:pPr>
        <w:spacing w:line="480" w:lineRule="exact"/>
        <w:rPr>
          <w:rFonts w:hint="eastAsia" w:ascii="宋体" w:hAnsi="宋体" w:cs="宋体"/>
          <w:b/>
          <w:szCs w:val="24"/>
        </w:rPr>
      </w:pPr>
      <w:r>
        <w:rPr>
          <w:rFonts w:hint="eastAsia" w:ascii="宋体" w:hAnsi="宋体" w:cs="宋体"/>
          <w:b/>
          <w:szCs w:val="24"/>
        </w:rPr>
        <w:t>一、合同格式</w:t>
      </w:r>
    </w:p>
    <w:p w14:paraId="5AE90BF3">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国际化课程标准资源装备建设-造价工程师标准和教学装备出海项目   </w:t>
      </w:r>
      <w:r>
        <w:rPr>
          <w:rFonts w:hint="eastAsia" w:ascii="宋体" w:hAnsi="宋体" w:cs="宋体"/>
          <w:szCs w:val="24"/>
        </w:rPr>
        <w:t>项目，(项目编号：</w:t>
      </w:r>
      <w:r>
        <w:rPr>
          <w:rFonts w:hint="eastAsia" w:ascii="宋体" w:hAnsi="宋体" w:cs="宋体"/>
          <w:szCs w:val="24"/>
          <w:u w:val="single"/>
        </w:rPr>
        <w:t xml:space="preserve"> HZ-FWZB-2025-012</w:t>
      </w:r>
      <w:r>
        <w:rPr>
          <w:rFonts w:hint="eastAsia" w:ascii="宋体" w:hAnsi="宋体" w:cs="宋体"/>
          <w:szCs w:val="24"/>
          <w:u w:val="single"/>
          <w:lang w:val="en-US" w:eastAsia="zh-CN"/>
        </w:rPr>
        <w:t>-2</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陕西恒信项目管理有限公司 </w:t>
      </w:r>
      <w:r>
        <w:rPr>
          <w:rFonts w:hint="eastAsia" w:ascii="宋体" w:hAnsi="宋体" w:cs="宋体"/>
          <w:szCs w:val="24"/>
        </w:rPr>
        <w:t>组织依法招标。</w:t>
      </w:r>
    </w:p>
    <w:p w14:paraId="687CF992">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0CF6C055">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0C212526">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4560BDD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6B8EB50A">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2AD58269">
      <w:pPr>
        <w:spacing w:line="480" w:lineRule="exact"/>
        <w:ind w:left="566" w:leftChars="236"/>
        <w:rPr>
          <w:rFonts w:hint="eastAsia" w:ascii="宋体" w:hAnsi="宋体" w:cs="宋体"/>
          <w:szCs w:val="24"/>
        </w:rPr>
      </w:pPr>
      <w:r>
        <w:rPr>
          <w:rFonts w:hint="eastAsia" w:ascii="宋体" w:hAnsi="宋体" w:cs="宋体"/>
          <w:szCs w:val="24"/>
        </w:rPr>
        <w:t>1）合同条款</w:t>
      </w:r>
    </w:p>
    <w:p w14:paraId="73703386">
      <w:pPr>
        <w:spacing w:line="480" w:lineRule="exact"/>
        <w:ind w:left="566" w:leftChars="236"/>
      </w:pPr>
      <w:r>
        <w:rPr>
          <w:rFonts w:hint="eastAsia" w:ascii="宋体" w:hAnsi="宋体" w:cs="宋体"/>
          <w:szCs w:val="24"/>
        </w:rPr>
        <w:t>2）合同条款附件</w:t>
      </w:r>
    </w:p>
    <w:p w14:paraId="04E8F78E">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32BB80B">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517C5679">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762A1EC9">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9E82F67">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56C8222F">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3AB98EEE">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2F8F3ACB">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6F00A82B">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53E6FA9F">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27BAAE76">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4E085534">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1B4CB461">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522588F9">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5FE5A8ED">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5888B698">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1AA012C5">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034D1135">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7E8B6233">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42A55751">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2D0E2C8E">
      <w:pPr>
        <w:spacing w:line="480" w:lineRule="exact"/>
        <w:ind w:firstLine="566" w:firstLineChars="236"/>
        <w:rPr>
          <w:rFonts w:hint="eastAsia" w:ascii="宋体" w:hAnsi="宋体" w:cs="宋体"/>
          <w:szCs w:val="24"/>
        </w:rPr>
      </w:pPr>
      <w:r>
        <w:rPr>
          <w:rFonts w:hint="eastAsia" w:ascii="宋体" w:hAnsi="宋体" w:cs="宋体"/>
          <w:szCs w:val="24"/>
        </w:rPr>
        <w:t>合同签订之日起一个月内付合同总费用的60%</w:t>
      </w:r>
      <w:r>
        <w:rPr>
          <w:rFonts w:hint="eastAsia" w:ascii="宋体" w:hAnsi="宋体" w:cs="宋体"/>
          <w:szCs w:val="24"/>
          <w:lang w:eastAsia="zh-CN"/>
        </w:rPr>
        <w:t>，</w:t>
      </w:r>
      <w:r>
        <w:rPr>
          <w:rFonts w:hint="eastAsia" w:ascii="宋体" w:hAnsi="宋体" w:cs="宋体"/>
          <w:szCs w:val="24"/>
        </w:rPr>
        <w:t>交付认证证书</w:t>
      </w:r>
      <w:r>
        <w:rPr>
          <w:rFonts w:hint="eastAsia" w:ascii="宋体" w:hAnsi="宋体" w:cs="宋体"/>
          <w:szCs w:val="24"/>
          <w:lang w:eastAsia="zh-CN"/>
        </w:rPr>
        <w:t>后</w:t>
      </w:r>
      <w:r>
        <w:rPr>
          <w:rFonts w:hint="eastAsia" w:ascii="宋体" w:hAnsi="宋体" w:cs="宋体"/>
          <w:szCs w:val="24"/>
        </w:rPr>
        <w:t>支付合同总费用的40%。</w:t>
      </w:r>
    </w:p>
    <w:p w14:paraId="334F500F">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自合同签订之日起1年内完成。</w:t>
      </w:r>
    </w:p>
    <w:p w14:paraId="274E4CBE">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0F96C5B9">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61776C7">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p w14:paraId="7ADB4BB1">
      <w:pPr>
        <w:pStyle w:val="12"/>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32A71A6A">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72742521">
            <w:pPr>
              <w:spacing w:line="360" w:lineRule="auto"/>
            </w:pPr>
            <w:r>
              <w:rPr>
                <w:rFonts w:hint="eastAsia"/>
              </w:rPr>
              <w:t xml:space="preserve">买方名称：西安铁路职业技术学院 </w:t>
            </w:r>
          </w:p>
          <w:p w14:paraId="3463A40C">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927A845">
            <w:pPr>
              <w:spacing w:line="360" w:lineRule="auto"/>
            </w:pPr>
          </w:p>
          <w:p w14:paraId="35A8A0F9">
            <w:pPr>
              <w:spacing w:line="360" w:lineRule="auto"/>
            </w:pPr>
          </w:p>
          <w:p w14:paraId="6ADBE5CC">
            <w:pPr>
              <w:spacing w:line="360" w:lineRule="auto"/>
            </w:pPr>
          </w:p>
          <w:p w14:paraId="190B1BD8">
            <w:pPr>
              <w:spacing w:line="360" w:lineRule="auto"/>
            </w:pPr>
            <w:r>
              <w:rPr>
                <w:rFonts w:hint="eastAsia"/>
              </w:rPr>
              <w:t>法定代表人/授权代表签字：</w:t>
            </w:r>
          </w:p>
          <w:p w14:paraId="22FE28BD">
            <w:pPr>
              <w:spacing w:line="360" w:lineRule="auto"/>
            </w:pPr>
            <w:r>
              <w:rPr>
                <w:rFonts w:hint="eastAsia"/>
              </w:rPr>
              <w:t>盖章：</w:t>
            </w:r>
          </w:p>
          <w:p w14:paraId="4F75D584">
            <w:pPr>
              <w:spacing w:line="360" w:lineRule="auto"/>
            </w:pPr>
            <w:r>
              <w:rPr>
                <w:rFonts w:hint="eastAsia"/>
              </w:rPr>
              <w:t xml:space="preserve">               </w:t>
            </w:r>
          </w:p>
          <w:p w14:paraId="5B190235">
            <w:pPr>
              <w:spacing w:line="360" w:lineRule="auto"/>
            </w:pPr>
            <w:r>
              <w:rPr>
                <w:rFonts w:hint="eastAsia"/>
              </w:rPr>
              <w:t xml:space="preserve">     年  月  日      </w:t>
            </w:r>
          </w:p>
        </w:tc>
        <w:tc>
          <w:tcPr>
            <w:tcW w:w="4630" w:type="dxa"/>
            <w:tcMar>
              <w:top w:w="113" w:type="dxa"/>
              <w:left w:w="113" w:type="dxa"/>
              <w:bottom w:w="113" w:type="dxa"/>
              <w:right w:w="113" w:type="dxa"/>
            </w:tcMar>
          </w:tcPr>
          <w:p w14:paraId="10A46249">
            <w:pPr>
              <w:spacing w:line="360" w:lineRule="auto"/>
            </w:pPr>
            <w:r>
              <w:rPr>
                <w:rFonts w:hint="eastAsia"/>
              </w:rPr>
              <w:t xml:space="preserve">卖方名称： </w:t>
            </w:r>
          </w:p>
          <w:p w14:paraId="39B1DE90">
            <w:pPr>
              <w:spacing w:line="360" w:lineRule="auto"/>
            </w:pPr>
            <w:r>
              <w:rPr>
                <w:rFonts w:hint="eastAsia"/>
              </w:rPr>
              <w:t>地    址：</w:t>
            </w:r>
          </w:p>
          <w:p w14:paraId="1EB699DD">
            <w:pPr>
              <w:spacing w:line="360" w:lineRule="auto"/>
            </w:pPr>
            <w:r>
              <w:rPr>
                <w:rFonts w:hint="eastAsia"/>
              </w:rPr>
              <w:t>电    话：</w:t>
            </w:r>
          </w:p>
          <w:p w14:paraId="6ECD598F">
            <w:pPr>
              <w:spacing w:line="360" w:lineRule="auto"/>
            </w:pPr>
            <w:r>
              <w:rPr>
                <w:rFonts w:hint="eastAsia"/>
              </w:rPr>
              <w:t xml:space="preserve">开户银行： </w:t>
            </w:r>
          </w:p>
          <w:p w14:paraId="03F09CF0">
            <w:pPr>
              <w:spacing w:line="360" w:lineRule="auto"/>
            </w:pPr>
            <w:r>
              <w:rPr>
                <w:rFonts w:hint="eastAsia"/>
              </w:rPr>
              <w:t xml:space="preserve">帐    号： </w:t>
            </w:r>
          </w:p>
          <w:p w14:paraId="040C88E2">
            <w:pPr>
              <w:spacing w:line="360" w:lineRule="auto"/>
            </w:pPr>
            <w:r>
              <w:rPr>
                <w:rFonts w:hint="eastAsia"/>
              </w:rPr>
              <w:t>法定代表人/授权代表签字</w:t>
            </w:r>
          </w:p>
          <w:p w14:paraId="242A9382">
            <w:pPr>
              <w:spacing w:line="360" w:lineRule="auto"/>
            </w:pPr>
            <w:r>
              <w:rPr>
                <w:rFonts w:hint="eastAsia"/>
              </w:rPr>
              <w:t>盖章：</w:t>
            </w:r>
          </w:p>
          <w:p w14:paraId="2AF16E9E">
            <w:pPr>
              <w:spacing w:line="360" w:lineRule="auto"/>
            </w:pPr>
            <w:r>
              <w:rPr>
                <w:rFonts w:hint="eastAsia"/>
              </w:rPr>
              <w:t xml:space="preserve">          </w:t>
            </w:r>
          </w:p>
          <w:p w14:paraId="1C0B0D51">
            <w:pPr>
              <w:spacing w:line="360" w:lineRule="auto"/>
            </w:pPr>
            <w:r>
              <w:rPr>
                <w:rFonts w:hint="eastAsia"/>
              </w:rPr>
              <w:t xml:space="preserve">     年  月  日</w:t>
            </w:r>
          </w:p>
        </w:tc>
      </w:tr>
    </w:tbl>
    <w:p w14:paraId="3D4D3279">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7A8511E4">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1BBC5681">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3CB8DF1B">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6FA0B6E0">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C9197C1">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7F58622E">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35B08CDD">
      <w:pPr>
        <w:widowControl/>
        <w:spacing w:line="360" w:lineRule="auto"/>
        <w:ind w:firstLine="616" w:firstLineChars="257"/>
        <w:jc w:val="left"/>
      </w:pPr>
      <w:r>
        <w:rPr>
          <w:rFonts w:hint="eastAsia" w:ascii="宋体" w:hAnsi="宋体"/>
          <w:kern w:val="0"/>
          <w:szCs w:val="24"/>
          <w:lang w:bidi="ar"/>
        </w:rPr>
        <w:t>5. 服务标准和验收标准详见附件4</w:t>
      </w:r>
    </w:p>
    <w:p w14:paraId="65E8327D">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71A5084B">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13087343">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1E1E876">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38BA8C6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1AE46C70">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3285EF4F">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9F0F51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635C5E74">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7FD2160B">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657DF552">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3EBE3D82">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2754D141">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1EA3728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73BC34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1615D6DA">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574E25D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6A543EA0">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082CFCE8">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5C57B1AA">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0AE6824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476EF09E">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6B2B91F4">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7CBAAFF2">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3F61AA9B">
      <w:pPr>
        <w:pStyle w:val="5"/>
        <w:ind w:firstLine="240"/>
        <w:rPr>
          <w:sz w:val="24"/>
          <w:szCs w:val="24"/>
        </w:rPr>
      </w:pPr>
      <w:r>
        <w:rPr>
          <w:rFonts w:hint="eastAsia" w:ascii="宋体" w:hAnsi="宋体"/>
          <w:kern w:val="0"/>
          <w:sz w:val="24"/>
          <w:szCs w:val="24"/>
        </w:rPr>
        <w:t xml:space="preserve">   9、卖方出现上述及其他违约行为应承担合同约定价30%的违约责任。</w:t>
      </w:r>
    </w:p>
    <w:p w14:paraId="6F42B22A">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F552AFA">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4C835AA1">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AE01F1C">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4E3178FB">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08597ABD">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6EDFD45">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2F090FD0">
      <w:pPr>
        <w:spacing w:line="360" w:lineRule="auto"/>
        <w:rPr>
          <w:rFonts w:hint="eastAsia" w:ascii="宋体" w:hAnsi="宋体"/>
          <w:b/>
          <w:szCs w:val="24"/>
        </w:rPr>
      </w:pPr>
      <w:r>
        <w:rPr>
          <w:rFonts w:hint="eastAsia" w:ascii="宋体" w:hAnsi="宋体"/>
          <w:b/>
          <w:szCs w:val="24"/>
        </w:rPr>
        <w:t>三、服务内容</w:t>
      </w:r>
    </w:p>
    <w:tbl>
      <w:tblPr>
        <w:tblStyle w:val="10"/>
        <w:tblW w:w="4942"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427"/>
        <w:gridCol w:w="1011"/>
        <w:gridCol w:w="1969"/>
        <w:gridCol w:w="3557"/>
        <w:gridCol w:w="1459"/>
      </w:tblGrid>
      <w:tr w14:paraId="623344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65" w:hRule="atLeast"/>
          <w:jc w:val="center"/>
        </w:trPr>
        <w:tc>
          <w:tcPr>
            <w:tcW w:w="466" w:type="dxa"/>
            <w:vAlign w:val="center"/>
          </w:tcPr>
          <w:p w14:paraId="02B1B760">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序号</w:t>
            </w:r>
          </w:p>
        </w:tc>
        <w:tc>
          <w:tcPr>
            <w:tcW w:w="1103" w:type="dxa"/>
            <w:vAlign w:val="center"/>
          </w:tcPr>
          <w:p w14:paraId="76D49C4A">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设备名称</w:t>
            </w:r>
          </w:p>
        </w:tc>
        <w:tc>
          <w:tcPr>
            <w:tcW w:w="2145" w:type="dxa"/>
            <w:vAlign w:val="center"/>
          </w:tcPr>
          <w:p w14:paraId="557CA87D">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子模块基本功能</w:t>
            </w:r>
          </w:p>
        </w:tc>
        <w:tc>
          <w:tcPr>
            <w:tcW w:w="3875" w:type="dxa"/>
            <w:vAlign w:val="center"/>
          </w:tcPr>
          <w:p w14:paraId="2A5899A7">
            <w:pPr>
              <w:snapToGrid w:val="0"/>
              <w:spacing w:line="360" w:lineRule="atLeast"/>
              <w:jc w:val="center"/>
              <w:rPr>
                <w:rFonts w:hint="eastAsia" w:ascii="仿宋" w:hAnsi="仿宋" w:eastAsia="仿宋" w:cs="仿宋"/>
                <w:bCs/>
                <w:szCs w:val="21"/>
              </w:rPr>
            </w:pPr>
            <w:bookmarkStart w:id="5" w:name="OLE_LINK1"/>
            <w:r>
              <w:rPr>
                <w:rFonts w:hint="eastAsia" w:ascii="仿宋" w:hAnsi="仿宋" w:eastAsia="仿宋" w:cs="仿宋"/>
                <w:bCs/>
                <w:szCs w:val="21"/>
              </w:rPr>
              <w:t>工作区域及内容</w:t>
            </w:r>
            <w:bookmarkEnd w:id="5"/>
          </w:p>
        </w:tc>
        <w:tc>
          <w:tcPr>
            <w:tcW w:w="1590" w:type="dxa"/>
            <w:vAlign w:val="center"/>
          </w:tcPr>
          <w:p w14:paraId="240B7822">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单价</w:t>
            </w:r>
          </w:p>
          <w:p w14:paraId="670C695F">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（价格来源）</w:t>
            </w:r>
          </w:p>
        </w:tc>
      </w:tr>
      <w:tr w14:paraId="498595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466" w:type="dxa"/>
            <w:vMerge w:val="restart"/>
            <w:vAlign w:val="center"/>
          </w:tcPr>
          <w:p w14:paraId="63C90E3C">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1</w:t>
            </w:r>
          </w:p>
        </w:tc>
        <w:tc>
          <w:tcPr>
            <w:tcW w:w="1103" w:type="dxa"/>
            <w:vMerge w:val="restart"/>
            <w:vAlign w:val="center"/>
          </w:tcPr>
          <w:p w14:paraId="3333FDBF">
            <w:pPr>
              <w:snapToGrid w:val="0"/>
              <w:spacing w:line="360" w:lineRule="atLeast"/>
              <w:jc w:val="left"/>
              <w:rPr>
                <w:rFonts w:hint="eastAsia" w:ascii="仿宋" w:hAnsi="仿宋" w:eastAsia="仿宋" w:cs="仿宋"/>
                <w:bCs/>
                <w:szCs w:val="21"/>
              </w:rPr>
            </w:pPr>
            <w:r>
              <w:rPr>
                <w:rFonts w:hint="eastAsia" w:ascii="仿宋" w:hAnsi="仿宋" w:eastAsia="仿宋" w:cs="仿宋"/>
                <w:bCs/>
                <w:szCs w:val="21"/>
              </w:rPr>
              <w:t>轨道平顺性测量装置</w:t>
            </w:r>
          </w:p>
        </w:tc>
        <w:tc>
          <w:tcPr>
            <w:tcW w:w="2145" w:type="dxa"/>
            <w:vAlign w:val="center"/>
          </w:tcPr>
          <w:p w14:paraId="6C9A5C14">
            <w:pPr>
              <w:snapToGrid w:val="0"/>
              <w:spacing w:line="360" w:lineRule="atLeast"/>
              <w:rPr>
                <w:rFonts w:hint="eastAsia" w:ascii="仿宋" w:hAnsi="仿宋" w:eastAsia="仿宋" w:cs="仿宋"/>
                <w:bCs/>
                <w:szCs w:val="21"/>
              </w:rPr>
            </w:pPr>
            <w:r>
              <w:rPr>
                <w:rFonts w:hint="eastAsia" w:ascii="仿宋" w:hAnsi="仿宋" w:eastAsia="仿宋" w:cs="仿宋"/>
                <w:bCs/>
                <w:szCs w:val="21"/>
              </w:rPr>
              <w:t>1.1开发采集模块</w:t>
            </w:r>
          </w:p>
        </w:tc>
        <w:tc>
          <w:tcPr>
            <w:tcW w:w="3875" w:type="dxa"/>
            <w:vAlign w:val="center"/>
          </w:tcPr>
          <w:p w14:paraId="35E5F68E">
            <w:pPr>
              <w:snapToGrid w:val="0"/>
              <w:spacing w:line="360" w:lineRule="atLeast"/>
              <w:jc w:val="left"/>
              <w:rPr>
                <w:rFonts w:hint="eastAsia" w:ascii="仿宋" w:hAnsi="仿宋" w:eastAsia="仿宋" w:cs="仿宋"/>
              </w:rPr>
            </w:pPr>
            <w:r>
              <w:rPr>
                <w:rFonts w:hint="eastAsia" w:ascii="仿宋" w:hAnsi="仿宋" w:eastAsia="仿宋" w:cs="仿宋"/>
              </w:rPr>
              <w:t>用于快速检测轨道内部几何参数的获取，主要部件包括轨检仪的车体、惯导模块、倾角传感器，轨距传感器、轨枕扫描传感器、用于数据处理的工控机等。</w:t>
            </w:r>
          </w:p>
          <w:p w14:paraId="2FEF9A25">
            <w:pPr>
              <w:snapToGrid w:val="0"/>
              <w:spacing w:line="360" w:lineRule="atLeast"/>
              <w:jc w:val="left"/>
              <w:rPr>
                <w:rFonts w:hint="eastAsia" w:ascii="仿宋" w:hAnsi="仿宋" w:eastAsia="仿宋" w:cs="仿宋"/>
              </w:rPr>
            </w:pPr>
            <w:r>
              <w:rPr>
                <w:rFonts w:hint="eastAsia" w:ascii="仿宋" w:hAnsi="仿宋" w:eastAsia="仿宋" w:cs="仿宋"/>
              </w:rPr>
              <w:t>检测项目包括：轨距，超高，轨距变化率（可设置基长），扭矩/三角坑 ，10弦轨向，10米弦高低，正矢，里程等。</w:t>
            </w:r>
          </w:p>
        </w:tc>
        <w:tc>
          <w:tcPr>
            <w:tcW w:w="1590" w:type="dxa"/>
            <w:vAlign w:val="center"/>
          </w:tcPr>
          <w:p w14:paraId="0D7E8373">
            <w:pPr>
              <w:snapToGrid w:val="0"/>
              <w:spacing w:line="360" w:lineRule="atLeast"/>
              <w:jc w:val="center"/>
              <w:rPr>
                <w:rFonts w:hint="eastAsia" w:ascii="仿宋" w:hAnsi="仿宋" w:eastAsia="仿宋" w:cs="仿宋"/>
              </w:rPr>
            </w:pPr>
            <w:r>
              <w:rPr>
                <w:rFonts w:hint="eastAsia" w:ascii="仿宋" w:hAnsi="仿宋" w:eastAsia="仿宋" w:cs="仿宋"/>
              </w:rPr>
              <w:t>120000.00</w:t>
            </w:r>
          </w:p>
          <w:p w14:paraId="347000C9">
            <w:pPr>
              <w:snapToGrid w:val="0"/>
              <w:spacing w:line="360" w:lineRule="atLeast"/>
              <w:jc w:val="center"/>
              <w:rPr>
                <w:rFonts w:hint="eastAsia" w:ascii="仿宋" w:hAnsi="仿宋" w:eastAsia="仿宋" w:cs="仿宋"/>
              </w:rPr>
            </w:pPr>
          </w:p>
          <w:p w14:paraId="7FAE0288">
            <w:pPr>
              <w:snapToGrid w:val="0"/>
              <w:spacing w:line="360" w:lineRule="atLeast"/>
              <w:jc w:val="center"/>
              <w:rPr>
                <w:rFonts w:hint="eastAsia" w:ascii="仿宋" w:hAnsi="仿宋" w:eastAsia="仿宋" w:cs="仿宋"/>
              </w:rPr>
            </w:pPr>
          </w:p>
        </w:tc>
      </w:tr>
      <w:tr w14:paraId="6395F4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73" w:hRule="atLeast"/>
          <w:jc w:val="center"/>
        </w:trPr>
        <w:tc>
          <w:tcPr>
            <w:tcW w:w="466" w:type="dxa"/>
            <w:vMerge w:val="continue"/>
            <w:vAlign w:val="center"/>
          </w:tcPr>
          <w:p w14:paraId="24D22263">
            <w:pPr>
              <w:snapToGrid w:val="0"/>
              <w:spacing w:line="360" w:lineRule="atLeast"/>
              <w:jc w:val="center"/>
              <w:rPr>
                <w:rFonts w:hint="eastAsia" w:ascii="仿宋" w:hAnsi="仿宋" w:eastAsia="仿宋" w:cs="仿宋"/>
                <w:bCs/>
                <w:szCs w:val="21"/>
              </w:rPr>
            </w:pPr>
          </w:p>
        </w:tc>
        <w:tc>
          <w:tcPr>
            <w:tcW w:w="1103" w:type="dxa"/>
            <w:vMerge w:val="continue"/>
            <w:vAlign w:val="center"/>
          </w:tcPr>
          <w:p w14:paraId="2C7DFC2B">
            <w:pPr>
              <w:snapToGrid w:val="0"/>
              <w:spacing w:line="360" w:lineRule="atLeast"/>
              <w:jc w:val="center"/>
              <w:rPr>
                <w:rFonts w:hint="eastAsia" w:ascii="仿宋" w:hAnsi="仿宋" w:eastAsia="仿宋" w:cs="仿宋"/>
                <w:bCs/>
                <w:kern w:val="0"/>
                <w:szCs w:val="21"/>
                <w:lang w:bidi="ar"/>
              </w:rPr>
            </w:pPr>
          </w:p>
        </w:tc>
        <w:tc>
          <w:tcPr>
            <w:tcW w:w="2145" w:type="dxa"/>
            <w:vAlign w:val="center"/>
          </w:tcPr>
          <w:p w14:paraId="783FCD0B">
            <w:pPr>
              <w:snapToGrid w:val="0"/>
              <w:spacing w:line="360" w:lineRule="atLeast"/>
              <w:rPr>
                <w:rFonts w:hint="eastAsia" w:ascii="仿宋" w:hAnsi="仿宋" w:eastAsia="仿宋" w:cs="仿宋"/>
                <w:bCs/>
                <w:color w:val="FF0000"/>
                <w:szCs w:val="21"/>
                <w:lang w:val="en-US" w:eastAsia="zh-CN"/>
              </w:rPr>
            </w:pPr>
            <w:r>
              <w:rPr>
                <w:rFonts w:hint="eastAsia" w:ascii="仿宋" w:hAnsi="仿宋" w:eastAsia="仿宋" w:cs="仿宋"/>
                <w:bCs/>
                <w:szCs w:val="21"/>
              </w:rPr>
              <w:t>1.2开发数据处理模块</w:t>
            </w:r>
          </w:p>
        </w:tc>
        <w:tc>
          <w:tcPr>
            <w:tcW w:w="3875" w:type="dxa"/>
            <w:vAlign w:val="center"/>
          </w:tcPr>
          <w:p w14:paraId="549319BA">
            <w:pPr>
              <w:snapToGrid w:val="0"/>
              <w:spacing w:line="360" w:lineRule="atLeast"/>
              <w:jc w:val="left"/>
              <w:rPr>
                <w:rFonts w:hint="eastAsia" w:ascii="仿宋" w:hAnsi="仿宋" w:eastAsia="仿宋" w:cs="仿宋"/>
                <w:bCs/>
                <w:szCs w:val="21"/>
              </w:rPr>
            </w:pPr>
            <w:r>
              <w:rPr>
                <w:rFonts w:hint="eastAsia" w:ascii="仿宋" w:hAnsi="仿宋" w:eastAsia="仿宋" w:cs="仿宋"/>
                <w:bCs/>
                <w:szCs w:val="21"/>
              </w:rPr>
              <w:t>数据处理模块主要是安装于工控机上，负责轨检仪的数据采集单元的通信，控制和采集传感器数据，实时显示数据和波形图，储存检测数据和结果等。数据处理模块包括项目作业管理，线路参数的输入（平面线型参数、纵坡线型参数，断链参数）还有系统测量参数的显示及设备标定，设备检测，传感器标定。惯导标定，出厂值标定等。实现快速准确的 线型计算、处理，波形图显示的相对快速测量。</w:t>
            </w:r>
          </w:p>
        </w:tc>
        <w:tc>
          <w:tcPr>
            <w:tcW w:w="1590" w:type="dxa"/>
            <w:vAlign w:val="center"/>
          </w:tcPr>
          <w:p w14:paraId="37D6F7C2">
            <w:pPr>
              <w:snapToGrid w:val="0"/>
              <w:spacing w:line="360" w:lineRule="atLeast"/>
              <w:jc w:val="center"/>
              <w:rPr>
                <w:rFonts w:hint="eastAsia" w:ascii="仿宋" w:hAnsi="仿宋" w:eastAsia="仿宋" w:cs="仿宋"/>
              </w:rPr>
            </w:pPr>
            <w:r>
              <w:rPr>
                <w:rFonts w:hint="eastAsia" w:ascii="仿宋" w:hAnsi="仿宋" w:eastAsia="仿宋" w:cs="仿宋"/>
                <w:bCs/>
                <w:szCs w:val="21"/>
              </w:rPr>
              <w:t>40000.00</w:t>
            </w:r>
          </w:p>
          <w:p w14:paraId="6351A57B">
            <w:pPr>
              <w:snapToGrid w:val="0"/>
              <w:spacing w:line="360" w:lineRule="atLeast"/>
              <w:jc w:val="center"/>
              <w:rPr>
                <w:rFonts w:hint="eastAsia" w:ascii="仿宋" w:hAnsi="仿宋" w:eastAsia="仿宋" w:cs="仿宋"/>
              </w:rPr>
            </w:pPr>
          </w:p>
          <w:p w14:paraId="79D7BC97">
            <w:pPr>
              <w:snapToGrid w:val="0"/>
              <w:spacing w:line="360" w:lineRule="atLeast"/>
              <w:jc w:val="center"/>
              <w:rPr>
                <w:rFonts w:hint="eastAsia" w:ascii="仿宋" w:hAnsi="仿宋" w:eastAsia="仿宋" w:cs="仿宋"/>
              </w:rPr>
            </w:pPr>
          </w:p>
          <w:p w14:paraId="36050AA7">
            <w:pPr>
              <w:snapToGrid w:val="0"/>
              <w:spacing w:line="360" w:lineRule="atLeast"/>
              <w:jc w:val="center"/>
              <w:rPr>
                <w:rFonts w:hint="eastAsia" w:ascii="仿宋" w:hAnsi="仿宋" w:eastAsia="仿宋" w:cs="仿宋"/>
              </w:rPr>
            </w:pPr>
          </w:p>
        </w:tc>
      </w:tr>
      <w:tr w14:paraId="4087FF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466" w:type="dxa"/>
            <w:vMerge w:val="continue"/>
            <w:vAlign w:val="center"/>
          </w:tcPr>
          <w:p w14:paraId="0AD529A3">
            <w:pPr>
              <w:snapToGrid w:val="0"/>
              <w:spacing w:line="360" w:lineRule="atLeast"/>
              <w:jc w:val="center"/>
              <w:rPr>
                <w:rFonts w:hint="eastAsia" w:ascii="仿宋" w:hAnsi="仿宋" w:eastAsia="仿宋" w:cs="仿宋"/>
                <w:bCs/>
                <w:szCs w:val="21"/>
              </w:rPr>
            </w:pPr>
          </w:p>
        </w:tc>
        <w:tc>
          <w:tcPr>
            <w:tcW w:w="1103" w:type="dxa"/>
            <w:vMerge w:val="continue"/>
            <w:vAlign w:val="center"/>
          </w:tcPr>
          <w:p w14:paraId="2EAB1175">
            <w:pPr>
              <w:snapToGrid w:val="0"/>
              <w:spacing w:line="360" w:lineRule="atLeast"/>
              <w:jc w:val="center"/>
              <w:rPr>
                <w:rFonts w:hint="eastAsia" w:ascii="仿宋" w:hAnsi="仿宋" w:eastAsia="仿宋" w:cs="仿宋"/>
                <w:bCs/>
                <w:kern w:val="0"/>
                <w:szCs w:val="21"/>
                <w:lang w:bidi="ar"/>
              </w:rPr>
            </w:pPr>
          </w:p>
        </w:tc>
        <w:tc>
          <w:tcPr>
            <w:tcW w:w="2145" w:type="dxa"/>
            <w:vAlign w:val="center"/>
          </w:tcPr>
          <w:p w14:paraId="73C974AA">
            <w:pPr>
              <w:snapToGrid w:val="0"/>
              <w:spacing w:line="360" w:lineRule="atLeast"/>
              <w:rPr>
                <w:rFonts w:hint="eastAsia" w:ascii="仿宋" w:hAnsi="仿宋" w:eastAsia="仿宋" w:cs="仿宋"/>
                <w:bCs/>
                <w:szCs w:val="21"/>
              </w:rPr>
            </w:pPr>
            <w:r>
              <w:rPr>
                <w:rFonts w:hint="eastAsia" w:ascii="仿宋" w:hAnsi="仿宋" w:eastAsia="仿宋" w:cs="仿宋"/>
                <w:bCs/>
                <w:szCs w:val="21"/>
              </w:rPr>
              <w:t>1.3开发数据分析模块</w:t>
            </w:r>
          </w:p>
        </w:tc>
        <w:tc>
          <w:tcPr>
            <w:tcW w:w="3875" w:type="dxa"/>
            <w:vAlign w:val="center"/>
          </w:tcPr>
          <w:p w14:paraId="128DA2AF">
            <w:pPr>
              <w:snapToGrid w:val="0"/>
              <w:spacing w:line="360" w:lineRule="atLeast"/>
              <w:jc w:val="left"/>
              <w:rPr>
                <w:rFonts w:hint="eastAsia" w:ascii="仿宋" w:hAnsi="仿宋" w:eastAsia="仿宋" w:cs="仿宋"/>
                <w:bCs/>
                <w:szCs w:val="21"/>
              </w:rPr>
            </w:pPr>
            <w:r>
              <w:rPr>
                <w:rFonts w:hint="eastAsia" w:ascii="仿宋" w:hAnsi="仿宋" w:eastAsia="仿宋" w:cs="仿宋"/>
                <w:bCs/>
                <w:szCs w:val="21"/>
              </w:rPr>
              <w:t>可安装于设备工控机或任意教学用电脑上，可载入采集软件保存的轨道检测数据，查看轨检数据。查看波形图显示，平顺性分析，模拟扣件调整以及各种轨道检测数据报表输出。其中包含设置轨检限差异作为对比分析，导入轨检数据，轨检台账，波形图显示，数据表显示，TQI计算分析，模拟扣件调整。输出标准数据报表，轨检分析报表，曲线检查报表，路线病害报表扣件调整报表。</w:t>
            </w:r>
          </w:p>
        </w:tc>
        <w:tc>
          <w:tcPr>
            <w:tcW w:w="1590" w:type="dxa"/>
            <w:vAlign w:val="center"/>
          </w:tcPr>
          <w:p w14:paraId="5EA6D00A">
            <w:pPr>
              <w:snapToGrid w:val="0"/>
              <w:spacing w:line="360" w:lineRule="atLeast"/>
              <w:jc w:val="center"/>
              <w:rPr>
                <w:rFonts w:hint="eastAsia" w:ascii="仿宋" w:hAnsi="仿宋" w:eastAsia="仿宋" w:cs="仿宋"/>
                <w:bCs/>
                <w:szCs w:val="21"/>
              </w:rPr>
            </w:pPr>
            <w:r>
              <w:rPr>
                <w:rFonts w:hint="eastAsia" w:ascii="仿宋" w:hAnsi="仿宋" w:eastAsia="仿宋" w:cs="仿宋"/>
                <w:bCs/>
                <w:szCs w:val="21"/>
              </w:rPr>
              <w:t>40000.00</w:t>
            </w:r>
          </w:p>
        </w:tc>
      </w:tr>
      <w:tr w14:paraId="5C124F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1" w:hRule="atLeast"/>
          <w:jc w:val="center"/>
        </w:trPr>
        <w:tc>
          <w:tcPr>
            <w:tcW w:w="466" w:type="dxa"/>
            <w:vMerge w:val="restart"/>
            <w:vAlign w:val="center"/>
          </w:tcPr>
          <w:p w14:paraId="667FFE05">
            <w:pPr>
              <w:rPr>
                <w:rFonts w:hint="eastAsia" w:ascii="仿宋" w:hAnsi="仿宋" w:eastAsia="仿宋" w:cs="仿宋"/>
              </w:rPr>
            </w:pPr>
            <w:r>
              <w:rPr>
                <w:rFonts w:hint="eastAsia" w:ascii="仿宋" w:hAnsi="仿宋" w:eastAsia="仿宋" w:cs="仿宋"/>
              </w:rPr>
              <w:t>2</w:t>
            </w:r>
          </w:p>
        </w:tc>
        <w:tc>
          <w:tcPr>
            <w:tcW w:w="1103" w:type="dxa"/>
            <w:vMerge w:val="restart"/>
            <w:vAlign w:val="center"/>
          </w:tcPr>
          <w:p w14:paraId="2D73DA49">
            <w:pPr>
              <w:rPr>
                <w:rFonts w:hint="eastAsia" w:ascii="仿宋" w:hAnsi="仿宋" w:eastAsia="仿宋" w:cs="仿宋"/>
              </w:rPr>
            </w:pPr>
            <w:r>
              <w:rPr>
                <w:rFonts w:hint="eastAsia" w:ascii="仿宋" w:hAnsi="仿宋" w:eastAsia="仿宋" w:cs="仿宋"/>
              </w:rPr>
              <w:t>造价工程师职业标准推广应用</w:t>
            </w:r>
          </w:p>
        </w:tc>
        <w:tc>
          <w:tcPr>
            <w:tcW w:w="2145" w:type="dxa"/>
            <w:vAlign w:val="center"/>
          </w:tcPr>
          <w:p w14:paraId="48BE8076">
            <w:pPr>
              <w:snapToGrid w:val="0"/>
              <w:spacing w:line="360" w:lineRule="atLeast"/>
              <w:jc w:val="left"/>
              <w:rPr>
                <w:rFonts w:hint="eastAsia" w:ascii="仿宋" w:hAnsi="仿宋" w:eastAsia="仿宋" w:cs="仿宋"/>
                <w:lang w:val="en-US" w:eastAsia="zh-CN"/>
              </w:rPr>
            </w:pPr>
            <w:r>
              <w:rPr>
                <w:rFonts w:hint="eastAsia" w:ascii="仿宋" w:hAnsi="仿宋" w:eastAsia="仿宋" w:cs="仿宋"/>
                <w:bCs/>
                <w:szCs w:val="21"/>
              </w:rPr>
              <w:t>造价工程师职业标准</w:t>
            </w:r>
            <w:r>
              <w:rPr>
                <w:rFonts w:hint="eastAsia" w:ascii="仿宋" w:hAnsi="仿宋" w:eastAsia="仿宋" w:cs="仿宋"/>
                <w:bCs/>
                <w:szCs w:val="21"/>
                <w:lang w:val="en-US" w:eastAsia="zh-CN"/>
              </w:rPr>
              <w:t>研讨会议</w:t>
            </w:r>
          </w:p>
        </w:tc>
        <w:tc>
          <w:tcPr>
            <w:tcW w:w="3875" w:type="dxa"/>
            <w:vAlign w:val="center"/>
          </w:tcPr>
          <w:p w14:paraId="122E3DBF">
            <w:pPr>
              <w:snapToGrid w:val="0"/>
              <w:spacing w:line="360" w:lineRule="atLeast"/>
              <w:jc w:val="left"/>
              <w:rPr>
                <w:rFonts w:hint="eastAsia" w:ascii="仿宋" w:hAnsi="仿宋" w:eastAsia="仿宋" w:cs="仿宋"/>
                <w:bCs/>
                <w:szCs w:val="21"/>
              </w:rPr>
            </w:pPr>
            <w:r>
              <w:rPr>
                <w:rFonts w:hint="eastAsia" w:ascii="仿宋" w:hAnsi="仿宋" w:eastAsia="仿宋" w:cs="仿宋"/>
                <w:bCs/>
                <w:szCs w:val="21"/>
              </w:rPr>
              <w:t>组织造价工程师职业标准的会议不少于一次，涵盖会议及培训，邀请国内外知名专家开展讲座并指导团队完善修订造价工程师职业标准等。</w:t>
            </w:r>
          </w:p>
        </w:tc>
        <w:tc>
          <w:tcPr>
            <w:tcW w:w="1590" w:type="dxa"/>
            <w:vAlign w:val="center"/>
          </w:tcPr>
          <w:p w14:paraId="118FAB01">
            <w:pPr>
              <w:jc w:val="center"/>
              <w:rPr>
                <w:rFonts w:hint="eastAsia" w:ascii="仿宋" w:hAnsi="仿宋" w:eastAsia="仿宋" w:cs="仿宋"/>
                <w:lang w:val="en-US" w:eastAsia="zh-CN"/>
              </w:rPr>
            </w:pPr>
            <w:r>
              <w:rPr>
                <w:rFonts w:hint="eastAsia" w:ascii="仿宋" w:hAnsi="仿宋" w:eastAsia="仿宋" w:cs="仿宋"/>
                <w:lang w:val="en-US" w:eastAsia="zh-CN"/>
              </w:rPr>
              <w:t>35000</w:t>
            </w:r>
          </w:p>
        </w:tc>
      </w:tr>
      <w:tr w14:paraId="6BE0A1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466" w:type="dxa"/>
            <w:vMerge w:val="continue"/>
            <w:vAlign w:val="center"/>
          </w:tcPr>
          <w:p w14:paraId="0B1E8BB1">
            <w:pPr>
              <w:rPr>
                <w:rFonts w:hint="eastAsia" w:ascii="仿宋" w:hAnsi="仿宋" w:eastAsia="仿宋" w:cs="仿宋"/>
              </w:rPr>
            </w:pPr>
          </w:p>
        </w:tc>
        <w:tc>
          <w:tcPr>
            <w:tcW w:w="1103" w:type="dxa"/>
            <w:vMerge w:val="continue"/>
            <w:vAlign w:val="center"/>
          </w:tcPr>
          <w:p w14:paraId="18A2737F">
            <w:pPr>
              <w:rPr>
                <w:rFonts w:hint="eastAsia" w:ascii="仿宋" w:hAnsi="仿宋" w:eastAsia="仿宋" w:cs="仿宋"/>
              </w:rPr>
            </w:pPr>
          </w:p>
        </w:tc>
        <w:tc>
          <w:tcPr>
            <w:tcW w:w="2145" w:type="dxa"/>
            <w:vAlign w:val="center"/>
          </w:tcPr>
          <w:p w14:paraId="425F2725">
            <w:pPr>
              <w:snapToGrid w:val="0"/>
              <w:spacing w:line="360" w:lineRule="atLeast"/>
              <w:jc w:val="left"/>
              <w:rPr>
                <w:rFonts w:hint="eastAsia" w:ascii="仿宋" w:hAnsi="仿宋" w:eastAsia="仿宋" w:cs="仿宋"/>
                <w:lang w:val="en-US" w:eastAsia="zh-CN"/>
              </w:rPr>
            </w:pPr>
            <w:r>
              <w:rPr>
                <w:rFonts w:hint="eastAsia" w:ascii="仿宋" w:hAnsi="仿宋" w:eastAsia="仿宋" w:cs="仿宋"/>
                <w:lang w:val="en-US" w:eastAsia="zh-CN"/>
              </w:rPr>
              <w:t>专家评审</w:t>
            </w:r>
          </w:p>
        </w:tc>
        <w:tc>
          <w:tcPr>
            <w:tcW w:w="3875" w:type="dxa"/>
            <w:vAlign w:val="center"/>
          </w:tcPr>
          <w:p w14:paraId="76E4644B">
            <w:pPr>
              <w:snapToGrid w:val="0"/>
              <w:spacing w:line="360" w:lineRule="atLeast"/>
              <w:jc w:val="left"/>
              <w:rPr>
                <w:rFonts w:hint="eastAsia" w:ascii="仿宋" w:hAnsi="仿宋" w:eastAsia="仿宋" w:cs="仿宋"/>
                <w:bCs/>
                <w:szCs w:val="21"/>
              </w:rPr>
            </w:pPr>
            <w:r>
              <w:rPr>
                <w:rFonts w:hint="eastAsia" w:ascii="仿宋" w:hAnsi="仿宋" w:eastAsia="仿宋" w:cs="仿宋"/>
                <w:bCs/>
                <w:szCs w:val="21"/>
              </w:rPr>
              <w:t>专家评审。组织</w:t>
            </w:r>
            <w:r>
              <w:rPr>
                <w:rFonts w:hint="eastAsia" w:ascii="仿宋" w:hAnsi="仿宋" w:eastAsia="仿宋" w:cs="仿宋"/>
                <w:bCs/>
                <w:szCs w:val="21"/>
                <w:lang w:val="en-US" w:eastAsia="zh-CN"/>
              </w:rPr>
              <w:t>东南亚及中亚等国家</w:t>
            </w:r>
            <w:r>
              <w:rPr>
                <w:rFonts w:hint="eastAsia" w:ascii="仿宋" w:hAnsi="仿宋" w:eastAsia="仿宋" w:cs="仿宋"/>
                <w:bCs/>
                <w:szCs w:val="21"/>
              </w:rPr>
              <w:t>专业教学标准建设专家委员会，针对共同输出的专业教学标准，进行评审并输出评审意见。根据评审专家意见决定是否开展再次评审。</w:t>
            </w:r>
          </w:p>
        </w:tc>
        <w:tc>
          <w:tcPr>
            <w:tcW w:w="1590" w:type="dxa"/>
            <w:vAlign w:val="center"/>
          </w:tcPr>
          <w:p w14:paraId="140CD992">
            <w:pPr>
              <w:jc w:val="center"/>
              <w:rPr>
                <w:rFonts w:hint="eastAsia" w:ascii="仿宋" w:hAnsi="仿宋" w:eastAsia="仿宋" w:cs="仿宋"/>
                <w:lang w:val="en-US" w:eastAsia="zh-CN"/>
              </w:rPr>
            </w:pPr>
            <w:r>
              <w:rPr>
                <w:rFonts w:hint="eastAsia" w:ascii="仿宋" w:hAnsi="仿宋" w:eastAsia="仿宋" w:cs="仿宋"/>
                <w:lang w:val="en-US" w:eastAsia="zh-CN"/>
              </w:rPr>
              <w:t>35000</w:t>
            </w:r>
          </w:p>
        </w:tc>
      </w:tr>
      <w:tr w14:paraId="1F72F4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7" w:hRule="atLeast"/>
          <w:jc w:val="center"/>
        </w:trPr>
        <w:tc>
          <w:tcPr>
            <w:tcW w:w="466" w:type="dxa"/>
            <w:vMerge w:val="continue"/>
            <w:vAlign w:val="center"/>
          </w:tcPr>
          <w:p w14:paraId="0CECD301">
            <w:pPr>
              <w:rPr>
                <w:rFonts w:hint="eastAsia" w:ascii="仿宋" w:hAnsi="仿宋" w:eastAsia="仿宋" w:cs="仿宋"/>
              </w:rPr>
            </w:pPr>
          </w:p>
        </w:tc>
        <w:tc>
          <w:tcPr>
            <w:tcW w:w="1103" w:type="dxa"/>
            <w:vMerge w:val="continue"/>
            <w:vAlign w:val="center"/>
          </w:tcPr>
          <w:p w14:paraId="50574917">
            <w:pPr>
              <w:rPr>
                <w:rFonts w:hint="eastAsia" w:ascii="仿宋" w:hAnsi="仿宋" w:eastAsia="仿宋" w:cs="仿宋"/>
              </w:rPr>
            </w:pPr>
          </w:p>
        </w:tc>
        <w:tc>
          <w:tcPr>
            <w:tcW w:w="2145" w:type="dxa"/>
            <w:vAlign w:val="center"/>
          </w:tcPr>
          <w:p w14:paraId="07DF64B4">
            <w:pPr>
              <w:snapToGrid w:val="0"/>
              <w:spacing w:line="360" w:lineRule="atLeast"/>
              <w:jc w:val="left"/>
              <w:rPr>
                <w:rFonts w:hint="eastAsia" w:ascii="仿宋" w:hAnsi="仿宋" w:eastAsia="仿宋" w:cs="仿宋"/>
                <w:color w:val="FF0000"/>
                <w:lang w:val="en-US" w:eastAsia="zh-CN"/>
              </w:rPr>
            </w:pPr>
            <w:r>
              <w:rPr>
                <w:rFonts w:hint="eastAsia" w:ascii="仿宋" w:hAnsi="仿宋" w:eastAsia="仿宋" w:cs="仿宋"/>
                <w:lang w:val="en-US" w:eastAsia="zh-CN"/>
              </w:rPr>
              <w:t>国际认定及证明</w:t>
            </w:r>
          </w:p>
        </w:tc>
        <w:tc>
          <w:tcPr>
            <w:tcW w:w="3875" w:type="dxa"/>
            <w:vAlign w:val="center"/>
          </w:tcPr>
          <w:p w14:paraId="0F9B537C">
            <w:pPr>
              <w:rPr>
                <w:rFonts w:hint="eastAsia" w:ascii="仿宋" w:hAnsi="仿宋" w:eastAsia="仿宋" w:cs="仿宋"/>
                <w:lang w:val="en-US" w:eastAsia="zh-CN"/>
              </w:rPr>
            </w:pPr>
            <w:r>
              <w:rPr>
                <w:rFonts w:hint="eastAsia" w:ascii="仿宋" w:hAnsi="仿宋" w:eastAsia="仿宋" w:cs="仿宋"/>
                <w:bCs/>
                <w:szCs w:val="21"/>
                <w:lang w:val="en-US" w:eastAsia="zh-CN"/>
              </w:rPr>
              <w:t>标准认证证书。学院获得由东南亚或中亚等国家教育部或教育部下属机构出具的专业教学标准认证证书。</w:t>
            </w:r>
          </w:p>
        </w:tc>
        <w:tc>
          <w:tcPr>
            <w:tcW w:w="1590" w:type="dxa"/>
            <w:vAlign w:val="center"/>
          </w:tcPr>
          <w:p w14:paraId="67D47409">
            <w:pPr>
              <w:jc w:val="center"/>
              <w:rPr>
                <w:rFonts w:hint="eastAsia" w:ascii="仿宋" w:hAnsi="仿宋" w:eastAsia="仿宋" w:cs="仿宋"/>
                <w:lang w:val="en-US" w:eastAsia="zh-CN"/>
              </w:rPr>
            </w:pPr>
            <w:r>
              <w:rPr>
                <w:rFonts w:hint="eastAsia" w:ascii="仿宋" w:hAnsi="仿宋" w:eastAsia="仿宋" w:cs="仿宋"/>
                <w:lang w:val="en-US" w:eastAsia="zh-CN"/>
              </w:rPr>
              <w:t>30000</w:t>
            </w:r>
          </w:p>
        </w:tc>
      </w:tr>
      <w:tr w14:paraId="7D6A48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7" w:hRule="atLeast"/>
          <w:jc w:val="center"/>
        </w:trPr>
        <w:tc>
          <w:tcPr>
            <w:tcW w:w="466" w:type="dxa"/>
            <w:vAlign w:val="center"/>
          </w:tcPr>
          <w:p w14:paraId="168673C0">
            <w:pPr>
              <w:rPr>
                <w:rFonts w:hint="eastAsia" w:ascii="仿宋" w:hAnsi="仿宋" w:eastAsia="仿宋" w:cs="仿宋"/>
              </w:rPr>
            </w:pPr>
          </w:p>
        </w:tc>
        <w:tc>
          <w:tcPr>
            <w:tcW w:w="1103" w:type="dxa"/>
            <w:vAlign w:val="center"/>
          </w:tcPr>
          <w:p w14:paraId="643B624E">
            <w:pPr>
              <w:rPr>
                <w:rFonts w:hint="eastAsia" w:ascii="仿宋" w:hAnsi="仿宋" w:eastAsia="仿宋" w:cs="仿宋"/>
              </w:rPr>
            </w:pPr>
          </w:p>
        </w:tc>
        <w:tc>
          <w:tcPr>
            <w:tcW w:w="2145" w:type="dxa"/>
            <w:vAlign w:val="center"/>
          </w:tcPr>
          <w:p w14:paraId="2F076610">
            <w:pPr>
              <w:snapToGrid w:val="0"/>
              <w:spacing w:line="360" w:lineRule="atLeast"/>
              <w:jc w:val="left"/>
              <w:rPr>
                <w:rFonts w:hint="eastAsia" w:ascii="仿宋" w:hAnsi="仿宋" w:eastAsia="仿宋" w:cs="仿宋"/>
              </w:rPr>
            </w:pPr>
            <w:r>
              <w:rPr>
                <w:rFonts w:hint="eastAsia" w:ascii="仿宋" w:hAnsi="仿宋" w:eastAsia="仿宋" w:cs="仿宋"/>
              </w:rPr>
              <w:t>合计</w:t>
            </w:r>
          </w:p>
        </w:tc>
        <w:tc>
          <w:tcPr>
            <w:tcW w:w="3875" w:type="dxa"/>
            <w:vAlign w:val="center"/>
          </w:tcPr>
          <w:p w14:paraId="7B74EF92">
            <w:pPr>
              <w:snapToGrid w:val="0"/>
              <w:spacing w:line="360" w:lineRule="atLeast"/>
              <w:jc w:val="left"/>
              <w:rPr>
                <w:rFonts w:hint="eastAsia" w:ascii="仿宋" w:hAnsi="仿宋" w:eastAsia="仿宋" w:cs="仿宋"/>
              </w:rPr>
            </w:pPr>
          </w:p>
        </w:tc>
        <w:tc>
          <w:tcPr>
            <w:tcW w:w="1590" w:type="dxa"/>
            <w:vAlign w:val="center"/>
          </w:tcPr>
          <w:p w14:paraId="1EC636E5">
            <w:pPr>
              <w:jc w:val="center"/>
              <w:rPr>
                <w:rFonts w:hint="eastAsia" w:ascii="仿宋" w:hAnsi="仿宋" w:eastAsia="仿宋" w:cs="仿宋"/>
              </w:rPr>
            </w:pPr>
            <w:r>
              <w:rPr>
                <w:rFonts w:hint="eastAsia" w:ascii="仿宋" w:hAnsi="仿宋" w:eastAsia="仿宋" w:cs="仿宋"/>
              </w:rPr>
              <w:t>300000</w:t>
            </w:r>
          </w:p>
        </w:tc>
      </w:tr>
    </w:tbl>
    <w:p w14:paraId="33461013"/>
    <w:p w14:paraId="15974437">
      <w:pPr>
        <w:pStyle w:val="5"/>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10" w:usb3="00000000" w:csb0="00040000" w:csb1="00000000"/>
    <w:embedRegular r:id="rId1" w:fontKey="{685074D7-E04C-4396-B768-4E5F138C9854}"/>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EC2A4309-FDFE-4686-A0D4-36CE1201AD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8"/>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8"/>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A05A6B"/>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99"/>
    <w:pPr>
      <w:spacing w:after="120"/>
      <w:ind w:left="420" w:leftChars="200" w:firstLine="420"/>
      <w:jc w:val="left"/>
    </w:pPr>
    <w:rPr>
      <w:sz w:val="20"/>
    </w:rPr>
  </w:style>
  <w:style w:type="paragraph" w:styleId="3">
    <w:name w:val="Body Text Indent"/>
    <w:basedOn w:val="1"/>
    <w:next w:val="4"/>
    <w:qFormat/>
    <w:uiPriority w:val="0"/>
    <w:pPr>
      <w:spacing w:afterLines="50" w:line="360" w:lineRule="exact"/>
      <w:ind w:firstLine="480" w:firstLineChars="200"/>
    </w:pPr>
    <w:rPr>
      <w:rFonts w:ascii="宋体" w:hAnsi="宋体"/>
      <w:szCs w:val="24"/>
    </w:rPr>
  </w:style>
  <w:style w:type="paragraph" w:customStyle="1" w:styleId="4">
    <w:name w:val="Style1"/>
    <w:basedOn w:val="1"/>
    <w:qFormat/>
    <w:uiPriority w:val="0"/>
    <w:pPr>
      <w:widowControl/>
      <w:tabs>
        <w:tab w:val="left" w:pos="-720"/>
      </w:tabs>
      <w:spacing w:after="120"/>
    </w:pPr>
    <w:rPr>
      <w:rFonts w:ascii="Times New Roman" w:hAnsi="Times New Roman" w:cs="Times New Roman"/>
      <w:spacing w:val="-3"/>
      <w:kern w:val="0"/>
      <w:sz w:val="24"/>
      <w:szCs w:val="20"/>
      <w:lang w:val="en-AU" w:eastAsia="en-US"/>
    </w:rPr>
  </w:style>
  <w:style w:type="paragraph" w:styleId="5">
    <w:name w:val="Body Text First Indent"/>
    <w:basedOn w:val="6"/>
    <w:qFormat/>
    <w:uiPriority w:val="0"/>
    <w:pPr>
      <w:ind w:firstLine="420" w:firstLineChars="100"/>
    </w:pPr>
  </w:style>
  <w:style w:type="paragraph" w:styleId="6">
    <w:name w:val="Body Text"/>
    <w:basedOn w:val="1"/>
    <w:next w:val="1"/>
    <w:qFormat/>
    <w:uiPriority w:val="0"/>
    <w:pPr>
      <w:spacing w:after="120"/>
    </w:pPr>
    <w:rPr>
      <w:sz w:val="21"/>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24</Pages>
  <Words>5220</Words>
  <Characters>5374</Characters>
  <Lines>42</Lines>
  <Paragraphs>11</Paragraphs>
  <TotalTime>0</TotalTime>
  <ScaleCrop>false</ScaleCrop>
  <LinksUpToDate>false</LinksUpToDate>
  <CharactersWithSpaces>5805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2025-08-03T11:56:43Z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