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版本号：SZT2025-SN-XC-ZC-HW-075120250811001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经开院区档案库密集架项目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SZT2025-SN-XC-ZC-HW-0751</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经开院区档案库密集架项目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SZT2025-SN-XC-ZC-HW-0751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经开院区档案库密集架项目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档案库密集架采购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1、法定代表人授权书：法定代表人直接参加磋商的，须出具法定代表人身份证，并与营业执照上信息一致。法定代表人授权代表参加磋商的，须出具法定代表人授权书及授权代表身份证; （事业单位参照执行）</w:t>
      </w:r>
    </w:p>
    <w:p>
      <w:pPr>
        <w:pStyle w:val="null3"/>
      </w:pPr>
      <w:r>
        <w:rPr>
          <w:rFonts w:ascii="仿宋_GB2312" w:hAnsi="仿宋_GB2312" w:cs="仿宋_GB2312" w:eastAsia="仿宋_GB2312"/>
        </w:rPr>
        <w:t>2、本项目不接受联合体磋商：本项目不接受联合体磋商，单位负责人为同一人或者存在直接控股、管理关系的不同单位，不得参加同一项下的政府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西安市儿童医院招标办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肖娇娇、李娜、单博、毛冠奇、李文俊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招标代理机构交纳招标代理服务费。招标代理服务费的收取参见国家计委颁布的《招标代理服务收费管理暂行办法》（计价格[2002]1980号）和（发改办价格[2003]857号）标准计算下浮20%收取（不足伍仟元，按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⑴本合同及附件文本所约定的验收标准； ⑵磋商文件、响应文件、澄清表（函）； ⑶国家相应的标准、规范。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为确保经开院区医院办公、医疗等工作档案的存放，本次采购旨在选择一家具备良好信誉、优质产品和合理价格的供应商，为医院提供办密集架的安装。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275,000.00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经开院区档案库密集架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标的名称：经开院区档案库密集架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color w:val="222222"/>
              </w:rPr>
              <w:t>为</w:t>
            </w:r>
            <w:r>
              <w:rPr>
                <w:rFonts w:ascii="仿宋_GB2312" w:hAnsi="仿宋_GB2312" w:cs="仿宋_GB2312" w:eastAsia="仿宋_GB2312"/>
                <w:sz w:val="24"/>
                <w:color w:val="222222"/>
              </w:rPr>
              <w:t>确保经开院区医院办公、医疗等工作档案的存放</w:t>
            </w:r>
            <w:r>
              <w:rPr>
                <w:rFonts w:ascii="仿宋_GB2312" w:hAnsi="仿宋_GB2312" w:cs="仿宋_GB2312" w:eastAsia="仿宋_GB2312"/>
                <w:sz w:val="24"/>
                <w:color w:val="222222"/>
              </w:rPr>
              <w:t>，本次采购旨在选择一家</w:t>
            </w:r>
            <w:r>
              <w:rPr>
                <w:rFonts w:ascii="仿宋_GB2312" w:hAnsi="仿宋_GB2312" w:cs="仿宋_GB2312" w:eastAsia="仿宋_GB2312"/>
                <w:sz w:val="24"/>
                <w:color w:val="222222"/>
              </w:rPr>
              <w:t>具备良好</w:t>
            </w:r>
            <w:r>
              <w:rPr>
                <w:rFonts w:ascii="仿宋_GB2312" w:hAnsi="仿宋_GB2312" w:cs="仿宋_GB2312" w:eastAsia="仿宋_GB2312"/>
                <w:sz w:val="24"/>
                <w:color w:val="222222"/>
              </w:rPr>
              <w:t>信誉、</w:t>
            </w:r>
            <w:r>
              <w:rPr>
                <w:rFonts w:ascii="仿宋_GB2312" w:hAnsi="仿宋_GB2312" w:cs="仿宋_GB2312" w:eastAsia="仿宋_GB2312"/>
                <w:sz w:val="24"/>
                <w:color w:val="222222"/>
              </w:rPr>
              <w:t>优质产品和合理价格的供应商，为医院提供办密集架的安装</w:t>
            </w:r>
            <w:r>
              <w:rPr>
                <w:rFonts w:ascii="仿宋_GB2312" w:hAnsi="仿宋_GB2312" w:cs="仿宋_GB2312" w:eastAsia="仿宋_GB2312"/>
                <w:sz w:val="24"/>
                <w:color w:val="222222"/>
              </w:rPr>
              <w:t>。</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382"/>
              <w:gridCol w:w="661"/>
              <w:gridCol w:w="571"/>
              <w:gridCol w:w="441"/>
              <w:gridCol w:w="481"/>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每组限价</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w:t>
                  </w:r>
                  <w:r>
                    <w:rPr>
                      <w:rFonts w:ascii="仿宋_GB2312" w:hAnsi="仿宋_GB2312" w:cs="仿宋_GB2312" w:eastAsia="仿宋_GB2312"/>
                      <w:sz w:val="24"/>
                    </w:rPr>
                    <w:t>密集架</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900cm*560cm*2360cm</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1022元</w:t>
                  </w:r>
                </w:p>
              </w:tc>
            </w:tr>
          </w:tbl>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技术</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1、门板、侧护板、顶板：均采用≥0.8mm厚优质冷轧钢板，表面亚光喷塑，侧面板采用竖三拼镶嵌式，门板背面必须带加强筋，右上门装有密集架豪华锁，组装后缝隙均匀，锁定紧密，开启灵活。</w:t>
            </w:r>
          </w:p>
          <w:p>
            <w:pPr>
              <w:pStyle w:val="null3"/>
              <w:ind w:firstLine="480"/>
              <w:jc w:val="both"/>
            </w:pPr>
            <w:r>
              <w:rPr>
                <w:rFonts w:ascii="仿宋_GB2312" w:hAnsi="仿宋_GB2312" w:cs="仿宋_GB2312" w:eastAsia="仿宋_GB2312"/>
                <w:sz w:val="24"/>
              </w:rPr>
              <w:t>2、轴承：采用调心轴承。</w:t>
            </w:r>
          </w:p>
          <w:p>
            <w:pPr>
              <w:pStyle w:val="null3"/>
              <w:ind w:firstLine="480"/>
              <w:jc w:val="both"/>
            </w:pPr>
            <w:r>
              <w:rPr>
                <w:rFonts w:ascii="仿宋_GB2312" w:hAnsi="仿宋_GB2312" w:cs="仿宋_GB2312" w:eastAsia="仿宋_GB2312"/>
                <w:sz w:val="24"/>
              </w:rPr>
              <w:t>3、传动轴：采用圆钢，材质厚度直径20mm。</w:t>
            </w:r>
          </w:p>
          <w:p>
            <w:pPr>
              <w:pStyle w:val="null3"/>
              <w:ind w:firstLine="480"/>
              <w:jc w:val="both"/>
            </w:pPr>
            <w:r>
              <w:rPr>
                <w:rFonts w:ascii="仿宋_GB2312" w:hAnsi="仿宋_GB2312" w:cs="仿宋_GB2312" w:eastAsia="仿宋_GB2312"/>
                <w:sz w:val="24"/>
              </w:rPr>
              <w:t>4、连接钢管：采用无缝钢管，材质厚度直径≥25mm。</w:t>
            </w:r>
          </w:p>
          <w:p>
            <w:pPr>
              <w:pStyle w:val="null3"/>
              <w:ind w:left="480"/>
              <w:jc w:val="both"/>
            </w:pPr>
            <w:r>
              <w:rPr>
                <w:rFonts w:ascii="仿宋_GB2312" w:hAnsi="仿宋_GB2312" w:cs="仿宋_GB2312" w:eastAsia="仿宋_GB2312"/>
                <w:sz w:val="24"/>
              </w:rPr>
              <w:t>5、防护装置：每列的接触面均有缓冲及密封装置,具有良好的防震,防尘,防鼠,防光,防潮,功能。</w:t>
            </w:r>
          </w:p>
          <w:p>
            <w:pPr>
              <w:pStyle w:val="null3"/>
              <w:ind w:firstLine="480"/>
              <w:jc w:val="both"/>
            </w:pPr>
            <w:r>
              <w:rPr>
                <w:rFonts w:ascii="仿宋_GB2312" w:hAnsi="仿宋_GB2312" w:cs="仿宋_GB2312" w:eastAsia="仿宋_GB2312"/>
                <w:sz w:val="24"/>
              </w:rPr>
              <w:t>6、防震、防尘装置：采用≥20mm厚抗老化橡塑磁性密封条。</w:t>
            </w:r>
          </w:p>
          <w:p>
            <w:pPr>
              <w:pStyle w:val="null3"/>
              <w:ind w:firstLine="480"/>
              <w:jc w:val="both"/>
            </w:pPr>
            <w:r>
              <w:rPr>
                <w:rFonts w:ascii="仿宋_GB2312" w:hAnsi="仿宋_GB2312" w:cs="仿宋_GB2312" w:eastAsia="仿宋_GB2312"/>
                <w:sz w:val="24"/>
              </w:rPr>
              <w:t>7、防倾倒装置：采用≥2.0mm厚冷轧钢板。</w:t>
            </w:r>
          </w:p>
          <w:p>
            <w:pPr>
              <w:pStyle w:val="null3"/>
              <w:ind w:left="480"/>
              <w:jc w:val="both"/>
            </w:pPr>
            <w:r>
              <w:rPr>
                <w:rFonts w:ascii="仿宋_GB2312" w:hAnsi="仿宋_GB2312" w:cs="仿宋_GB2312" w:eastAsia="仿宋_GB2312"/>
                <w:sz w:val="24"/>
              </w:rPr>
              <w:t>8、喷塑：喷塑粉末选用环保型聚酯与环氧型混合涂料,要求色泽均匀一致，表面无划伤、流挂、斑纹等缺欠。</w:t>
            </w:r>
          </w:p>
          <w:p>
            <w:pPr>
              <w:pStyle w:val="null3"/>
              <w:ind w:firstLine="480"/>
              <w:jc w:val="both"/>
            </w:pPr>
            <w:r>
              <w:rPr>
                <w:rFonts w:ascii="仿宋_GB2312" w:hAnsi="仿宋_GB2312" w:cs="仿宋_GB2312" w:eastAsia="仿宋_GB2312"/>
                <w:sz w:val="24"/>
              </w:rPr>
              <w:t>9、底盘：采用≥2.3mm厚冷轧钢板，连接牢固、运输、安装方便。</w:t>
            </w:r>
          </w:p>
          <w:p>
            <w:pPr>
              <w:pStyle w:val="null3"/>
              <w:ind w:firstLine="480"/>
              <w:jc w:val="both"/>
            </w:pPr>
            <w:r>
              <w:rPr>
                <w:rFonts w:ascii="仿宋_GB2312" w:hAnsi="仿宋_GB2312" w:cs="仿宋_GB2312" w:eastAsia="仿宋_GB2312"/>
                <w:sz w:val="24"/>
              </w:rPr>
              <w:t>10、导轨：采用20*20mm实心方钢，轨座采用≥2mm厚钢板，电镀。</w:t>
            </w:r>
          </w:p>
          <w:p>
            <w:pPr>
              <w:pStyle w:val="null3"/>
              <w:ind w:firstLine="480"/>
              <w:jc w:val="both"/>
            </w:pPr>
            <w:r>
              <w:rPr>
                <w:rFonts w:ascii="仿宋_GB2312" w:hAnsi="仿宋_GB2312" w:cs="仿宋_GB2312" w:eastAsia="仿宋_GB2312"/>
                <w:sz w:val="24"/>
              </w:rPr>
              <w:t>11、立柱：采用≥1.2mm优质冷轧钢板。</w:t>
            </w:r>
          </w:p>
          <w:p>
            <w:pPr>
              <w:pStyle w:val="null3"/>
              <w:ind w:left="480"/>
              <w:jc w:val="both"/>
            </w:pPr>
            <w:r>
              <w:rPr>
                <w:rFonts w:ascii="仿宋_GB2312" w:hAnsi="仿宋_GB2312" w:cs="仿宋_GB2312" w:eastAsia="仿宋_GB2312"/>
                <w:sz w:val="24"/>
              </w:rPr>
              <w:t>12、层板：采用≥1.0mm优质冷轧钢板,成型厚度为25mm，能沿立柱垂直方向随意调整高度。</w:t>
            </w:r>
          </w:p>
          <w:p>
            <w:pPr>
              <w:pStyle w:val="null3"/>
              <w:ind w:left="480"/>
              <w:jc w:val="both"/>
            </w:pPr>
            <w:r>
              <w:rPr>
                <w:rFonts w:ascii="仿宋_GB2312" w:hAnsi="仿宋_GB2312" w:cs="仿宋_GB2312" w:eastAsia="仿宋_GB2312"/>
                <w:sz w:val="24"/>
              </w:rPr>
              <w:t>13、挂板：采用≥0.9mm厚优质冷轧钢板，挂板安装后挂板边缘与立柱边缘保持垂直平整，不得有缺口。</w:t>
            </w:r>
          </w:p>
          <w:p>
            <w:pPr>
              <w:pStyle w:val="null3"/>
              <w:ind w:firstLine="480"/>
              <w:jc w:val="both"/>
            </w:pPr>
            <w:r>
              <w:rPr>
                <w:rFonts w:ascii="仿宋_GB2312" w:hAnsi="仿宋_GB2312" w:cs="仿宋_GB2312" w:eastAsia="仿宋_GB2312"/>
                <w:sz w:val="24"/>
              </w:rPr>
              <w:t>14、标签框：采用冷轧钢冲压制作，底部有斜角造型，美观大方，坚固耐用，安装方</w:t>
            </w:r>
          </w:p>
          <w:p>
            <w:pPr>
              <w:pStyle w:val="null3"/>
              <w:ind w:firstLine="480"/>
              <w:jc w:val="both"/>
            </w:pPr>
            <w:r>
              <w:rPr>
                <w:rFonts w:ascii="仿宋_GB2312" w:hAnsi="仿宋_GB2312" w:cs="仿宋_GB2312" w:eastAsia="仿宋_GB2312"/>
                <w:sz w:val="24"/>
              </w:rPr>
              <w:t>便快捷。</w:t>
            </w:r>
          </w:p>
          <w:p>
            <w:pPr>
              <w:pStyle w:val="null3"/>
              <w:ind w:firstLine="480"/>
              <w:jc w:val="both"/>
            </w:pPr>
            <w:r>
              <w:rPr>
                <w:rFonts w:ascii="仿宋_GB2312" w:hAnsi="仿宋_GB2312" w:cs="仿宋_GB2312" w:eastAsia="仿宋_GB2312"/>
                <w:sz w:val="24"/>
              </w:rPr>
              <w:t>15、摇手柄：采用圆型方向盘式或摇把式，整体美观、牢固。</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所购产品家具厂家均终身跟踪服务，提供家具全面免费咨询服务；免费电脑设计；常规产品备货充足，专门配送团队快捷送货；免费专业安装及维修保养；特殊产品定制服务；免费家具拆迁重组设计及安装服务；提供免费技术培训。</w:t>
            </w:r>
          </w:p>
          <w:p>
            <w:pPr>
              <w:pStyle w:val="null3"/>
              <w:ind w:firstLine="480"/>
              <w:jc w:val="both"/>
            </w:pPr>
            <w:r>
              <w:rPr>
                <w:rFonts w:ascii="仿宋_GB2312" w:hAnsi="仿宋_GB2312" w:cs="仿宋_GB2312" w:eastAsia="仿宋_GB2312"/>
                <w:sz w:val="24"/>
              </w:rPr>
              <w:t>所购产品质保</w:t>
            </w:r>
            <w:r>
              <w:rPr>
                <w:rFonts w:ascii="仿宋_GB2312" w:hAnsi="仿宋_GB2312" w:cs="仿宋_GB2312" w:eastAsia="仿宋_GB2312"/>
                <w:sz w:val="24"/>
              </w:rPr>
              <w:t>3年，在3年内因产品质量问题不能使用，厂家免费无条件更换同类产品。</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1、供</w:t>
            </w:r>
            <w:r>
              <w:rPr>
                <w:rFonts w:ascii="仿宋_GB2312" w:hAnsi="仿宋_GB2312" w:cs="仿宋_GB2312" w:eastAsia="仿宋_GB2312"/>
                <w:sz w:val="21"/>
              </w:rPr>
              <w:t xml:space="preserve"> </w:t>
            </w:r>
            <w:r>
              <w:rPr>
                <w:rFonts w:ascii="仿宋_GB2312" w:hAnsi="仿宋_GB2312" w:cs="仿宋_GB2312" w:eastAsia="仿宋_GB2312"/>
                <w:sz w:val="24"/>
              </w:rPr>
              <w:t>货</w:t>
            </w:r>
            <w:r>
              <w:rPr>
                <w:rFonts w:ascii="仿宋_GB2312" w:hAnsi="仿宋_GB2312" w:cs="仿宋_GB2312" w:eastAsia="仿宋_GB2312"/>
                <w:sz w:val="21"/>
              </w:rPr>
              <w:t xml:space="preserve"> </w:t>
            </w:r>
            <w:r>
              <w:rPr>
                <w:rFonts w:ascii="仿宋_GB2312" w:hAnsi="仿宋_GB2312" w:cs="仿宋_GB2312" w:eastAsia="仿宋_GB2312"/>
                <w:sz w:val="24"/>
              </w:rPr>
              <w:t>期：自合同签订之日</w:t>
            </w:r>
            <w:r>
              <w:rPr>
                <w:rFonts w:ascii="仿宋_GB2312" w:hAnsi="仿宋_GB2312" w:cs="仿宋_GB2312" w:eastAsia="仿宋_GB2312"/>
                <w:sz w:val="24"/>
              </w:rPr>
              <w:t>起</w:t>
            </w:r>
            <w:r>
              <w:rPr>
                <w:rFonts w:ascii="仿宋_GB2312" w:hAnsi="仿宋_GB2312" w:cs="仿宋_GB2312" w:eastAsia="仿宋_GB2312"/>
                <w:sz w:val="24"/>
              </w:rPr>
              <w:t>，</w:t>
            </w:r>
            <w:r>
              <w:rPr>
                <w:rFonts w:ascii="仿宋_GB2312" w:hAnsi="仿宋_GB2312" w:cs="仿宋_GB2312" w:eastAsia="仿宋_GB2312"/>
                <w:sz w:val="24"/>
              </w:rPr>
              <w:t>最高限价金额</w:t>
            </w:r>
            <w:r>
              <w:rPr>
                <w:rFonts w:ascii="仿宋_GB2312" w:hAnsi="仿宋_GB2312" w:cs="仿宋_GB2312" w:eastAsia="仿宋_GB2312"/>
                <w:sz w:val="24"/>
              </w:rPr>
              <w:t>执行完为止。</w:t>
            </w:r>
          </w:p>
          <w:p>
            <w:pPr>
              <w:pStyle w:val="null3"/>
              <w:ind w:firstLine="480"/>
              <w:jc w:val="both"/>
            </w:pPr>
            <w:r>
              <w:rPr>
                <w:rFonts w:ascii="仿宋_GB2312" w:hAnsi="仿宋_GB2312" w:cs="仿宋_GB2312" w:eastAsia="仿宋_GB2312"/>
                <w:sz w:val="24"/>
              </w:rPr>
              <w:t>2、交货时间：接到采购人订单之日起</w:t>
            </w:r>
            <w:r>
              <w:rPr>
                <w:rFonts w:ascii="仿宋_GB2312" w:hAnsi="仿宋_GB2312" w:cs="仿宋_GB2312" w:eastAsia="仿宋_GB2312"/>
                <w:sz w:val="24"/>
              </w:rPr>
              <w:t>14个工作</w:t>
            </w:r>
            <w:r>
              <w:rPr>
                <w:rFonts w:ascii="仿宋_GB2312" w:hAnsi="仿宋_GB2312" w:cs="仿宋_GB2312" w:eastAsia="仿宋_GB2312"/>
                <w:sz w:val="24"/>
              </w:rPr>
              <w:t>日内交货。</w:t>
            </w:r>
          </w:p>
          <w:p>
            <w:pPr>
              <w:pStyle w:val="null3"/>
              <w:ind w:firstLine="480"/>
              <w:jc w:val="both"/>
            </w:pPr>
            <w:r>
              <w:rPr>
                <w:rFonts w:ascii="仿宋_GB2312" w:hAnsi="仿宋_GB2312" w:cs="仿宋_GB2312" w:eastAsia="仿宋_GB2312"/>
                <w:sz w:val="24"/>
              </w:rPr>
              <w:t>3、交付地点：西安市儿童医院</w:t>
            </w:r>
            <w:r>
              <w:rPr>
                <w:rFonts w:ascii="仿宋_GB2312" w:hAnsi="仿宋_GB2312" w:cs="仿宋_GB2312" w:eastAsia="仿宋_GB2312"/>
                <w:sz w:val="24"/>
              </w:rPr>
              <w:t>经开院区。</w:t>
            </w:r>
          </w:p>
          <w:p>
            <w:pPr>
              <w:pStyle w:val="null3"/>
              <w:ind w:firstLine="480"/>
              <w:jc w:val="both"/>
            </w:pPr>
            <w:r>
              <w:rPr>
                <w:rFonts w:ascii="仿宋_GB2312" w:hAnsi="仿宋_GB2312" w:cs="仿宋_GB2312" w:eastAsia="仿宋_GB2312"/>
                <w:sz w:val="24"/>
              </w:rPr>
              <w:t>4、质</w:t>
            </w:r>
            <w:r>
              <w:rPr>
                <w:rFonts w:ascii="仿宋_GB2312" w:hAnsi="仿宋_GB2312" w:cs="仿宋_GB2312" w:eastAsia="仿宋_GB2312"/>
                <w:sz w:val="21"/>
              </w:rPr>
              <w:t xml:space="preserve"> </w:t>
            </w:r>
            <w:r>
              <w:rPr>
                <w:rFonts w:ascii="仿宋_GB2312" w:hAnsi="仿宋_GB2312" w:cs="仿宋_GB2312" w:eastAsia="仿宋_GB2312"/>
                <w:sz w:val="24"/>
              </w:rPr>
              <w:t>保</w:t>
            </w:r>
            <w:r>
              <w:rPr>
                <w:rFonts w:ascii="仿宋_GB2312" w:hAnsi="仿宋_GB2312" w:cs="仿宋_GB2312" w:eastAsia="仿宋_GB2312"/>
                <w:sz w:val="21"/>
              </w:rPr>
              <w:t xml:space="preserve"> </w:t>
            </w:r>
            <w:r>
              <w:rPr>
                <w:rFonts w:ascii="仿宋_GB2312" w:hAnsi="仿宋_GB2312" w:cs="仿宋_GB2312" w:eastAsia="仿宋_GB2312"/>
                <w:sz w:val="24"/>
              </w:rPr>
              <w:t>期：质保期</w:t>
            </w:r>
            <w:r>
              <w:rPr>
                <w:rFonts w:ascii="仿宋_GB2312" w:hAnsi="仿宋_GB2312" w:cs="仿宋_GB2312" w:eastAsia="仿宋_GB2312"/>
                <w:sz w:val="24"/>
              </w:rPr>
              <w:t>三</w:t>
            </w:r>
            <w:r>
              <w:rPr>
                <w:rFonts w:ascii="仿宋_GB2312" w:hAnsi="仿宋_GB2312" w:cs="仿宋_GB2312" w:eastAsia="仿宋_GB2312"/>
                <w:sz w:val="24"/>
              </w:rPr>
              <w:t>年</w:t>
            </w:r>
            <w:r>
              <w:rPr>
                <w:rFonts w:ascii="仿宋_GB2312" w:hAnsi="仿宋_GB2312" w:cs="仿宋_GB2312" w:eastAsia="仿宋_GB2312"/>
                <w:sz w:val="24"/>
              </w:rPr>
              <w:t>。</w:t>
            </w:r>
          </w:p>
          <w:p>
            <w:pPr>
              <w:pStyle w:val="null3"/>
              <w:ind w:firstLine="424"/>
              <w:jc w:val="both"/>
            </w:pPr>
            <w:r>
              <w:rPr>
                <w:rFonts w:ascii="仿宋_GB2312" w:hAnsi="仿宋_GB2312" w:cs="仿宋_GB2312" w:eastAsia="仿宋_GB2312"/>
                <w:sz w:val="24"/>
              </w:rPr>
              <w:t>5、付款方式</w:t>
            </w:r>
            <w:r>
              <w:rPr>
                <w:rFonts w:ascii="仿宋_GB2312" w:hAnsi="仿宋_GB2312" w:cs="仿宋_GB2312" w:eastAsia="仿宋_GB2312"/>
                <w:sz w:val="24"/>
              </w:rPr>
              <w:t>：</w:t>
            </w:r>
            <w:r>
              <w:rPr>
                <w:rFonts w:ascii="仿宋_GB2312" w:hAnsi="仿宋_GB2312" w:cs="仿宋_GB2312" w:eastAsia="仿宋_GB2312"/>
                <w:sz w:val="24"/>
              </w:rPr>
              <w:t>乙方应根据甲方的实际需求收到订单后</w:t>
            </w:r>
            <w:r>
              <w:rPr>
                <w:rFonts w:ascii="仿宋_GB2312" w:hAnsi="仿宋_GB2312" w:cs="仿宋_GB2312" w:eastAsia="仿宋_GB2312"/>
                <w:sz w:val="24"/>
              </w:rPr>
              <w:t>14个工作日内，按甲方要求生产安装，经双方验收合格后15工作日，乙方提供供货明细及相应金额的增值税发票，</w:t>
            </w:r>
            <w:r>
              <w:rPr>
                <w:rFonts w:ascii="仿宋_GB2312" w:hAnsi="仿宋_GB2312" w:cs="仿宋_GB2312" w:eastAsia="仿宋_GB2312"/>
                <w:sz w:val="24"/>
              </w:rPr>
              <w:t>甲方收到合格发票及完整结算单据后，</w:t>
            </w:r>
            <w:r>
              <w:rPr>
                <w:rFonts w:ascii="仿宋_GB2312" w:hAnsi="仿宋_GB2312" w:cs="仿宋_GB2312" w:eastAsia="仿宋_GB2312"/>
                <w:sz w:val="24"/>
              </w:rPr>
              <w:t>向供货单位支付本次订单总价的</w:t>
            </w:r>
            <w:r>
              <w:rPr>
                <w:rFonts w:ascii="仿宋_GB2312" w:hAnsi="仿宋_GB2312" w:cs="仿宋_GB2312" w:eastAsia="仿宋_GB2312"/>
                <w:sz w:val="24"/>
              </w:rPr>
              <w:t>97%，预留3%作为尾款。 乙方完成本次约定的全部义务，经甲方确认无异议后15个工作日内一次性无息支付给乙方。</w:t>
            </w:r>
          </w:p>
          <w:p>
            <w:pPr>
              <w:pStyle w:val="null3"/>
              <w:ind w:firstLine="241"/>
              <w:jc w:val="both"/>
            </w:pPr>
            <w:r>
              <w:rPr>
                <w:rFonts w:ascii="仿宋_GB2312" w:hAnsi="仿宋_GB2312" w:cs="仿宋_GB2312" w:eastAsia="仿宋_GB2312"/>
                <w:sz w:val="24"/>
                <w:b/>
              </w:rPr>
              <w:t>六、</w:t>
            </w:r>
            <w:r>
              <w:rPr>
                <w:rFonts w:ascii="仿宋_GB2312" w:hAnsi="仿宋_GB2312" w:cs="仿宋_GB2312" w:eastAsia="仿宋_GB2312"/>
                <w:sz w:val="24"/>
                <w:b/>
              </w:rPr>
              <w:t>其他要求：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按照现行家具行业国家标准执行</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自合同签订之日起，最高限价金额执行完为止。</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西安市儿童医院经开院区。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应根据甲方的实际需求收到订单后14个工作日内，按甲方要求生产安装，经双方验收合格后15工作日，乙方提供供货明细及相应金额的增值税发票，甲方收到合格发票及完整结算单据后，向供货单位支付本次订单总价的97%，预留3%作为尾款。 乙方完成本次约定的全部义务，经甲方确认无异议后15个工作日内一次性无息支付给乙方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因履行本合同发生的争议，由采购人和中标供应商协商解决，协商不成的，任何一方均可向采购人住所地人民法院提起诉讼，通过诉讼途径解决。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1、因系统原因付款条件中支付合同总金额的100%是指“甲方收到合格发票及完整结算单据后，向供货单位支付本次订单总价的97%，预留3%作为尾款” 2、为顺利推进政府采购电子化交易平台试点应用工作，供应商需要在线提交所有通过电子化交易平台实施的政府采购项目的投标文件，同时，线下提交投标文件正本 壹 份、副本贰份、电子版壹 套（U盘一套标明供应商名称，随正本密封）。若系统电子投标文件与纸质投标文件不一致的，以系统电子投标文件为准。 3、定标环节采购人有权对响应文件承诺响应的内容进行复核，如有虚假响应，一经发现，取消成交资格并上报财政主管部门，列入政府采购黑名单。 4、纸质版投标文件双面打印。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法定代表人直接参加磋商的，须出具法定代表人身份证，并与营业执照上信息一致。法定代表人授权代表参加磋商的，须出具法定代表人授权书及授权代表身份证; （事业单位参照执行）</w:t>
            </w:r>
          </w:p>
        </w:tc>
        <w:tc>
          <w:tcPr>
            <w:tcW w:type="dxa" w:w="1661"/>
          </w:tcPr>
          <w:p>
            <w:pPr>
              <w:pStyle w:val="null3"/>
            </w:pPr>
            <w:r>
              <w:rPr>
                <w:rFonts w:ascii="仿宋_GB2312" w:hAnsi="仿宋_GB2312" w:cs="仿宋_GB2312" w:eastAsia="仿宋_GB2312"/>
              </w:rPr>
              <w:t>供应商资格响应表.docx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参加同一项下的政府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供应商资格响应表.docx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磋商报价及分项报价表.docx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自合同签订之日起，最高限价金额执行完为止。</w:t>
            </w:r>
          </w:p>
        </w:tc>
        <w:tc>
          <w:tcPr>
            <w:tcW w:type="dxa" w:w="1661"/>
          </w:tcPr>
          <w:p>
            <w:pPr>
              <w:pStyle w:val="null3"/>
            </w:pPr>
            <w:r>
              <w:rPr>
                <w:rFonts w:ascii="仿宋_GB2312" w:hAnsi="仿宋_GB2312" w:cs="仿宋_GB2312" w:eastAsia="仿宋_GB2312"/>
              </w:rPr>
              <w:t>响应文件封面 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接到采购人订单之日起14个工作日内交货。</w:t>
            </w:r>
          </w:p>
        </w:tc>
        <w:tc>
          <w:tcPr>
            <w:tcW w:type="dxa" w:w="1661"/>
          </w:tcPr>
          <w:p>
            <w:pPr>
              <w:pStyle w:val="null3"/>
            </w:pPr>
            <w:r>
              <w:rPr>
                <w:rFonts w:ascii="仿宋_GB2312" w:hAnsi="仿宋_GB2312" w:cs="仿宋_GB2312" w:eastAsia="仿宋_GB2312"/>
              </w:rPr>
              <w:t>响应文件封面 商务应答表 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三年</w:t>
            </w:r>
          </w:p>
        </w:tc>
        <w:tc>
          <w:tcPr>
            <w:tcW w:type="dxa" w:w="1661"/>
          </w:tcPr>
          <w:p>
            <w:pPr>
              <w:pStyle w:val="null3"/>
            </w:pPr>
            <w:r>
              <w:rPr>
                <w:rFonts w:ascii="仿宋_GB2312" w:hAnsi="仿宋_GB2312" w:cs="仿宋_GB2312" w:eastAsia="仿宋_GB2312"/>
              </w:rPr>
              <w:t>商务应答表 商务及技术偏离表.docx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乙方应根据甲方的实际需求收到订单后14个工作日内，按甲方要求生产安装，经双方验收合格后15工作日，乙方提供供货明细及相应金额的增值税发票，甲方收到合格发票及完整结算单据后，向供货单位支付本次订单总价的97%，预留3%作为尾款。 乙方完成本次约定的全部义务，经甲方确认无异议后15个工作日内一次性无息支付给乙方。</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响应文件封面 商务应答表 标的清单 报价表 响应函 商务及技术偏离表.docx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根据磋商文件要求认真审核响应文件中技术参数响应和提供的佐证材料。所投产品的基本功能、产品技术参数和配置完全满足或优于磋商文件要求的，得满分15分；每负偏离一项扣1分，直至本项扣完为止。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方案至少包含：1、拟投入产品的材质、辅料主要成份与采购需求的吻合程度；2、拟投入产品的设计、环保性、耐用性情况；3、产品生产工艺流程规范、制作工艺精细；4、供应商有健全的管理制度，保证产、供、销、服务正常运转，且配套内容完整； 要求：方案各项内容全面详细、阐述条理清晰得满分，每有一项缺项扣3分，每有一处内容存在缺陷，扣0.5分，扣完为止。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方案至少包含：1、具体的供货组织计划；2、配送及安装人员；3、产品的运输方式、发放、调配更换等实施组织措施。 要求：方案各项内容全面详细、阐述条理清晰得满分，每有一项缺项扣3分，每有一处内容存在缺陷，扣0.5分，扣完为止。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方案至少包含：1、产品来源渠道；2、产品配套资料清单；3、使用寿命维护措施。 要求：方案各项内容全面详细、阐述条理清晰得满分，每有一项缺项扣2分，每有一处内容存在缺陷，扣0.5分，扣完为止。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方案至少包含：1、售后服务人员安排；2、响应时间；3、产品破损、损坏应对响应措施；4、包退包换服务方案。 要求：方案各项内容全面详细、阐述条理清晰得满分，每有一项缺项扣2分，每有一处内容存在缺陷，扣0.5分，扣完为止。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供应商提供针对本项目技术培训方案至少包含：1、培训人员安排；2、培训计划等。 要求：方案各项内容全面详细、阐述条理清晰得满分，每有一项缺项扣2分，每有一处内容存在缺陷，扣0.5分，扣完为止。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供应商提供针对本项目的增值服务。 1、内容科学可行、详细、阐述条理清晰得2分； 2、方案内容有缺陷、表述前后不一致、套用其他项目方案或与项目需求匹配性差得1分； 3、未提供不得分。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供应商提供针对本项目应急措施和解决方案至少包含：1、紧急供货；2、质量存在瑕疵等。 要求：方案各项内容全面详细、阐述条理清晰得满分，每有一项缺项扣2分，每有一处内容存在缺陷，扣1分，扣完为止。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供应商提供2022年1月至今类似项目业绩，提供1份得2分，满分10分。（提供合同复印件，以签订时间为准） 注：对于提供合同不清晰、信息不全，字体有明显修改等现象，视为无效业绩。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满足磋商文件要求且最后报价最低的磋商报价为磋商基准价，其价格分为满分。其他供应商的价格分统一按照下列公式计算：报价得分=（磋商基准价/最后报价）×价格总分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详见附件：供应商资格响应表.docx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详见附件：磋商报价及分项报价表.docx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