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版本号：HXGJXM2025-ZC-CS1022.20250804001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院本部零星维修工程（三次）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HXGJXM2025-ZC-CS1022.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院本部零星维修工程（三次）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院本部零星维修工程（三次）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院本部零星维修工程位于西安职业技术学院本部校内，本工程分为五部分：后勤服务楼五楼国际学生宿舍改造；办公楼一层损坏吊顶维修；篮球场周边排水系统维修；操场西侧塑胶跑道维修翻新；浴池门口修缮。具体内容详见磋商文件第三章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采购包1（院本部零星维修工程）：属于专门面向中小企业采购。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在磋商截止日前一年内在本单位已缴存的至少一个月的社会保险参保缴费证明；（法定代表人直接参加磋商，须提供法定代表人身份证明及身份证复印件）。</w:t>
      </w:r>
    </w:p>
    <w:p>
      <w:pPr>
        <w:pStyle w:val="null3"/>
      </w:pPr>
      <w:r>
        <w:rPr>
          <w:rFonts w:ascii="仿宋_GB2312" w:hAnsi="仿宋_GB2312" w:cs="仿宋_GB2312" w:eastAsia="仿宋_GB2312"/>
        </w:rPr>
        <w:t>2、单位资质：供应商应具备建筑工程施工总承包三级及以上资质并具备有效的安全生产许可证。</w:t>
      </w:r>
    </w:p>
    <w:p>
      <w:pPr>
        <w:pStyle w:val="null3"/>
      </w:pPr>
      <w:r>
        <w:rPr>
          <w:rFonts w:ascii="仿宋_GB2312" w:hAnsi="仿宋_GB2312" w:cs="仿宋_GB2312" w:eastAsia="仿宋_GB2312"/>
        </w:rPr>
        <w:t>3、拟派项目负责人（项目经理）资质：项目经理具备在本单位注册的建筑工程专业二级及以上注册建造师资格和安全生产考核合格证，且无不良记录及未担任其他在施建设工程项目的项目经理（提供承诺书）。</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029-84582051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柴彩珍、王强、康敏茹、张艳萍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费收费管理暂行办法》（计价格【2002】1980号）和国家发展和改革委员会办公厅颁发的《关于招标代理服务收费有关问题的通知》（发改办价格[2003]857号）的规定计取。 招标代理服务费账户：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质量验收标准或规范：1、国家现行有关法律、法规、环保和技术指标； 2、本项目施工合同； 3、经批准的设计文件及工程变更文件； 4、有关部政府部门的规定。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联系人：柴彩珍、王强、康敏茹、张艳萍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零星维修工程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pPr>
            <w:r>
              <w:rPr>
                <w:rFonts w:ascii="仿宋_GB2312" w:hAnsi="仿宋_GB2312" w:cs="仿宋_GB2312" w:eastAsia="仿宋_GB2312"/>
              </w:rPr>
              <w:t>450000</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标的名称：零星维修工程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jc w:val="both"/>
            </w:pPr>
            <w:r>
              <w:rPr>
                <w:rFonts w:ascii="仿宋_GB2312" w:hAnsi="仿宋_GB2312" w:cs="仿宋_GB2312" w:eastAsia="仿宋_GB2312"/>
                <w:sz w:val="20"/>
              </w:rPr>
              <w:t>院本部零星维修工程位于西安职业技术学院本部校内，本工程分为五部分：后勤服务楼五楼国际学生宿舍改造；办公楼一层损坏吊顶维修；篮球场周边排水系统维修；操场西侧塑胶跑道维修翻新；浴池门口修缮。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工程内容和施工地点、计划工期、缺陷责任期、质量保修期</w:t>
            </w:r>
          </w:p>
          <w:p>
            <w:pPr>
              <w:pStyle w:val="null3"/>
              <w:jc w:val="both"/>
            </w:pPr>
            <w:r>
              <w:rPr>
                <w:rFonts w:ascii="仿宋_GB2312" w:hAnsi="仿宋_GB2312" w:cs="仿宋_GB2312" w:eastAsia="仿宋_GB2312"/>
                <w:sz w:val="20"/>
              </w:rPr>
              <w:t>1、工程内容：</w:t>
            </w:r>
          </w:p>
          <w:p>
            <w:pPr>
              <w:pStyle w:val="null3"/>
              <w:ind w:firstLine="400"/>
              <w:jc w:val="both"/>
            </w:pPr>
            <w:r>
              <w:rPr>
                <w:rFonts w:ascii="仿宋_GB2312" w:hAnsi="仿宋_GB2312" w:cs="仿宋_GB2312" w:eastAsia="仿宋_GB2312"/>
                <w:sz w:val="20"/>
              </w:rPr>
              <w:t>院本部零星维修工程分为以下五部分内容：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后勤服务楼五楼国际学生宿舍改造工程包括：改造15间学生宿舍的墙面、顶面乳胶漆（其中8间宿舍按照标准间进行线路改造）；1间活动室的墙面、顶面乳胶漆（增设4米橱柜及上下水改造）；楼道铝方通吊顶及墙面乳胶漆；更换灯具20盏；洗衣房1间包管道、增设铝扣板吊顶；1间公共卫生间更换坐便、蹲便及水箱、隔断，增设铝扣板吊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2）办公楼一层损坏吊顶维修工程：200㎡吊顶维修，增设门斗；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3）篮球场周边排水系统维修工程包含球场南侧新建排水沟，北侧实训基地门口排水系统改造；</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4）操场西侧塑胶跑道维修翻新工程内容为餐厅东侧至8号公寓东侧约2200平方米塑胶跑道的喷胶翻新。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5）浴池门口修缮工程包含新作浴池门头，更换浴池大门，局部外立面优化，室外台阶改造，浴池门口至塑胶跑道新修石材道路，新修石材道路两侧道牙石，消防水池东侧、南侧损坏地砖修补等工程内容。</w:t>
            </w:r>
          </w:p>
          <w:p>
            <w:pPr>
              <w:pStyle w:val="null3"/>
              <w:jc w:val="both"/>
            </w:pPr>
            <w:r>
              <w:rPr>
                <w:rFonts w:ascii="仿宋_GB2312" w:hAnsi="仿宋_GB2312" w:cs="仿宋_GB2312" w:eastAsia="仿宋_GB2312"/>
                <w:sz w:val="20"/>
              </w:rPr>
              <w:t>2、计划工期：30日。</w:t>
            </w:r>
          </w:p>
          <w:p>
            <w:pPr>
              <w:pStyle w:val="null3"/>
              <w:jc w:val="both"/>
            </w:pPr>
            <w:r>
              <w:rPr>
                <w:rFonts w:ascii="仿宋_GB2312" w:hAnsi="仿宋_GB2312" w:cs="仿宋_GB2312" w:eastAsia="仿宋_GB2312"/>
                <w:sz w:val="20"/>
              </w:rPr>
              <w:t>3、缺陷责任期：自竣工验收合格之日起满2年。</w:t>
            </w:r>
          </w:p>
          <w:p>
            <w:pPr>
              <w:pStyle w:val="null3"/>
              <w:jc w:val="both"/>
            </w:pPr>
            <w:r>
              <w:rPr>
                <w:rFonts w:ascii="仿宋_GB2312" w:hAnsi="仿宋_GB2312" w:cs="仿宋_GB2312" w:eastAsia="仿宋_GB2312"/>
                <w:sz w:val="20"/>
              </w:rPr>
              <w:t>4、质量保修期：自竣工验收合格之日起满2年。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三、工程量清单和计价依据</w:t>
            </w:r>
          </w:p>
          <w:p>
            <w:pPr>
              <w:pStyle w:val="null3"/>
              <w:jc w:val="both"/>
            </w:pPr>
            <w:r>
              <w:rPr>
                <w:rFonts w:ascii="仿宋_GB2312" w:hAnsi="仿宋_GB2312" w:cs="仿宋_GB2312" w:eastAsia="仿宋_GB2312"/>
                <w:sz w:val="20"/>
              </w:rPr>
              <w:t>（一）工程量清单</w:t>
            </w:r>
            <w:r>
              <w:rPr>
                <w:rFonts w:ascii="仿宋_GB2312" w:hAnsi="仿宋_GB2312" w:cs="仿宋_GB2312" w:eastAsia="仿宋_GB2312"/>
                <w:sz w:val="20"/>
              </w:rPr>
              <w:t>:见工程量清单。</w:t>
            </w:r>
          </w:p>
          <w:p>
            <w:pPr>
              <w:pStyle w:val="null3"/>
              <w:jc w:val="both"/>
            </w:pPr>
            <w:r>
              <w:rPr>
                <w:rFonts w:ascii="仿宋_GB2312" w:hAnsi="仿宋_GB2312" w:cs="仿宋_GB2312" w:eastAsia="仿宋_GB2312"/>
                <w:sz w:val="20"/>
              </w:rPr>
              <w:t>（二）计价依据：</w:t>
            </w:r>
          </w:p>
          <w:p>
            <w:pPr>
              <w:pStyle w:val="null3"/>
              <w:ind w:firstLine="400"/>
              <w:jc w:val="both"/>
            </w:pPr>
            <w:r>
              <w:rPr>
                <w:rFonts w:ascii="仿宋_GB2312" w:hAnsi="仿宋_GB2312" w:cs="仿宋_GB2312" w:eastAsia="仿宋_GB2312"/>
                <w:sz w:val="20"/>
              </w:rPr>
              <w:t>1、(1)《陕西省建设工程工程量清单计价计算标准》(2025)</w:t>
            </w:r>
          </w:p>
          <w:p>
            <w:pPr>
              <w:pStyle w:val="null3"/>
              <w:ind w:firstLine="400"/>
              <w:jc w:val="both"/>
            </w:pPr>
            <w:r>
              <w:rPr>
                <w:rFonts w:ascii="仿宋_GB2312" w:hAnsi="仿宋_GB2312" w:cs="仿宋_GB2312" w:eastAsia="仿宋_GB2312"/>
                <w:sz w:val="20"/>
              </w:rPr>
              <w:t>(2)《陕西省建设工程费用规则》(2025)</w:t>
            </w:r>
          </w:p>
          <w:p>
            <w:pPr>
              <w:pStyle w:val="null3"/>
              <w:ind w:firstLine="400"/>
              <w:jc w:val="both"/>
            </w:pPr>
            <w:r>
              <w:rPr>
                <w:rFonts w:ascii="仿宋_GB2312" w:hAnsi="仿宋_GB2312" w:cs="仿宋_GB2312" w:eastAsia="仿宋_GB2312"/>
                <w:sz w:val="20"/>
              </w:rPr>
              <w:t>(3)《陕西省房屋建筑与装饰工程基价表》(2025)</w:t>
            </w:r>
          </w:p>
          <w:p>
            <w:pPr>
              <w:pStyle w:val="null3"/>
              <w:ind w:firstLine="400"/>
              <w:jc w:val="both"/>
            </w:pPr>
            <w:r>
              <w:rPr>
                <w:rFonts w:ascii="仿宋_GB2312" w:hAnsi="仿宋_GB2312" w:cs="仿宋_GB2312" w:eastAsia="仿宋_GB2312"/>
                <w:sz w:val="20"/>
              </w:rPr>
              <w:t>(4)《陕西省通用安装工程基价表》(2025)</w:t>
            </w:r>
          </w:p>
          <w:p>
            <w:pPr>
              <w:pStyle w:val="null3"/>
              <w:ind w:firstLine="400"/>
              <w:jc w:val="both"/>
            </w:pPr>
            <w:r>
              <w:rPr>
                <w:rFonts w:ascii="仿宋_GB2312" w:hAnsi="仿宋_GB2312" w:cs="仿宋_GB2312" w:eastAsia="仿宋_GB2312"/>
                <w:sz w:val="20"/>
              </w:rPr>
              <w:t>(5)《陕西省市政工程基价表》(2025)</w:t>
            </w:r>
          </w:p>
          <w:p>
            <w:pPr>
              <w:pStyle w:val="null3"/>
              <w:ind w:firstLine="400"/>
              <w:jc w:val="both"/>
            </w:pPr>
            <w:r>
              <w:rPr>
                <w:rFonts w:ascii="仿宋_GB2312" w:hAnsi="仿宋_GB2312" w:cs="仿宋_GB2312" w:eastAsia="仿宋_GB2312"/>
                <w:sz w:val="20"/>
              </w:rPr>
              <w:t>(6)《陕西省园林绿化工程基价表》(2025)</w:t>
            </w:r>
          </w:p>
          <w:p>
            <w:pPr>
              <w:pStyle w:val="null3"/>
              <w:ind w:firstLine="400"/>
              <w:jc w:val="both"/>
            </w:pPr>
            <w:r>
              <w:rPr>
                <w:rFonts w:ascii="仿宋_GB2312" w:hAnsi="仿宋_GB2312" w:cs="仿宋_GB2312" w:eastAsia="仿宋_GB2312"/>
                <w:sz w:val="20"/>
              </w:rPr>
              <w:t>(7)《陕西省城市地下综合管廊工程基价表》(2025)</w:t>
            </w:r>
          </w:p>
          <w:p>
            <w:pPr>
              <w:pStyle w:val="null3"/>
              <w:ind w:firstLine="400"/>
              <w:jc w:val="both"/>
            </w:pPr>
            <w:r>
              <w:rPr>
                <w:rFonts w:ascii="仿宋_GB2312" w:hAnsi="仿宋_GB2312" w:cs="仿宋_GB2312" w:eastAsia="仿宋_GB2312"/>
                <w:sz w:val="20"/>
              </w:rPr>
              <w:t>(8)《陕西省绿色建筑工程基价表》(2025)</w:t>
            </w:r>
          </w:p>
          <w:p>
            <w:pPr>
              <w:pStyle w:val="null3"/>
              <w:ind w:firstLine="400"/>
              <w:jc w:val="both"/>
            </w:pPr>
            <w:r>
              <w:rPr>
                <w:rFonts w:ascii="仿宋_GB2312" w:hAnsi="仿宋_GB2312" w:cs="仿宋_GB2312" w:eastAsia="仿宋_GB2312"/>
                <w:sz w:val="20"/>
              </w:rPr>
              <w:t>(9)《陕西省房屋建筑与装饰工程消耗量定额》(2025)</w:t>
            </w:r>
          </w:p>
          <w:p>
            <w:pPr>
              <w:pStyle w:val="null3"/>
              <w:ind w:firstLine="400"/>
              <w:jc w:val="both"/>
            </w:pPr>
            <w:r>
              <w:rPr>
                <w:rFonts w:ascii="仿宋_GB2312" w:hAnsi="仿宋_GB2312" w:cs="仿宋_GB2312" w:eastAsia="仿宋_GB2312"/>
                <w:sz w:val="20"/>
              </w:rPr>
              <w:t>(10)《陕西省通用安装工程消耗量定额》(2025)</w:t>
            </w:r>
          </w:p>
          <w:p>
            <w:pPr>
              <w:pStyle w:val="null3"/>
              <w:ind w:firstLine="400"/>
              <w:jc w:val="both"/>
            </w:pPr>
            <w:r>
              <w:rPr>
                <w:rFonts w:ascii="仿宋_GB2312" w:hAnsi="仿宋_GB2312" w:cs="仿宋_GB2312" w:eastAsia="仿宋_GB2312"/>
                <w:sz w:val="20"/>
              </w:rPr>
              <w:t>(11)《陕西省市政工程消耗量定额》(2025)</w:t>
            </w:r>
          </w:p>
          <w:p>
            <w:pPr>
              <w:pStyle w:val="null3"/>
              <w:ind w:firstLine="400"/>
              <w:jc w:val="both"/>
            </w:pPr>
            <w:r>
              <w:rPr>
                <w:rFonts w:ascii="仿宋_GB2312" w:hAnsi="仿宋_GB2312" w:cs="仿宋_GB2312" w:eastAsia="仿宋_GB2312"/>
                <w:sz w:val="20"/>
              </w:rPr>
              <w:t>(12)《陕西省园林绿化工程消耗量定额》(2025)</w:t>
            </w:r>
          </w:p>
          <w:p>
            <w:pPr>
              <w:pStyle w:val="null3"/>
              <w:ind w:firstLine="400"/>
              <w:jc w:val="both"/>
            </w:pPr>
            <w:r>
              <w:rPr>
                <w:rFonts w:ascii="仿宋_GB2312" w:hAnsi="仿宋_GB2312" w:cs="仿宋_GB2312" w:eastAsia="仿宋_GB2312"/>
                <w:sz w:val="20"/>
              </w:rPr>
              <w:t>(13)《陕西省城市地下综合管廊工程消耗量定额》(2025)</w:t>
            </w:r>
          </w:p>
          <w:p>
            <w:pPr>
              <w:pStyle w:val="null3"/>
              <w:ind w:firstLine="400"/>
              <w:jc w:val="both"/>
            </w:pPr>
            <w:r>
              <w:rPr>
                <w:rFonts w:ascii="仿宋_GB2312" w:hAnsi="仿宋_GB2312" w:cs="仿宋_GB2312" w:eastAsia="仿宋_GB2312"/>
                <w:sz w:val="20"/>
              </w:rPr>
              <w:t>(14)《陕西省绿色建筑工程消耗量定额》(2025)</w:t>
            </w:r>
          </w:p>
          <w:p>
            <w:pPr>
              <w:pStyle w:val="null3"/>
              <w:ind w:firstLine="400"/>
              <w:jc w:val="both"/>
            </w:pPr>
            <w:r>
              <w:rPr>
                <w:rFonts w:ascii="仿宋_GB2312" w:hAnsi="仿宋_GB2312" w:cs="仿宋_GB2312" w:eastAsia="仿宋_GB2312"/>
                <w:sz w:val="20"/>
              </w:rPr>
              <w:t>(15)《陕西省建设工程施工机械台班费用定额》(2025)</w:t>
            </w:r>
          </w:p>
          <w:p>
            <w:pPr>
              <w:pStyle w:val="null3"/>
              <w:ind w:firstLine="400"/>
              <w:jc w:val="both"/>
            </w:pPr>
            <w:r>
              <w:rPr>
                <w:rFonts w:ascii="仿宋_GB2312" w:hAnsi="仿宋_GB2312" w:cs="仿宋_GB2312" w:eastAsia="仿宋_GB2312"/>
                <w:sz w:val="20"/>
              </w:rPr>
              <w:t>(16)《陕西省建设工程施工仪器仪表台班费用定额》(2025)</w:t>
            </w:r>
          </w:p>
          <w:p>
            <w:pPr>
              <w:pStyle w:val="null3"/>
              <w:ind w:firstLine="400"/>
              <w:jc w:val="both"/>
            </w:pPr>
            <w:r>
              <w:rPr>
                <w:rFonts w:ascii="仿宋_GB2312" w:hAnsi="仿宋_GB2312" w:cs="仿宋_GB2312" w:eastAsia="仿宋_GB2312"/>
                <w:sz w:val="20"/>
              </w:rPr>
              <w:t>(17)《陕西省住房和城乡建设厅关于印发2025陕西省建设工程费用规则等计价依据的通知》(陕建管发[2025]10 号文件)；</w:t>
            </w:r>
          </w:p>
          <w:p>
            <w:pPr>
              <w:pStyle w:val="null3"/>
              <w:ind w:firstLine="400"/>
              <w:jc w:val="both"/>
            </w:pPr>
            <w:r>
              <w:rPr>
                <w:rFonts w:ascii="仿宋_GB2312" w:hAnsi="仿宋_GB2312" w:cs="仿宋_GB2312" w:eastAsia="仿宋_GB2312"/>
                <w:sz w:val="20"/>
              </w:rPr>
              <w:t>2、施工现场情况及常规的施工组织方案和工程验收规范；</w:t>
            </w:r>
          </w:p>
          <w:p>
            <w:pPr>
              <w:pStyle w:val="null3"/>
              <w:jc w:val="both"/>
            </w:pPr>
            <w:r>
              <w:rPr>
                <w:rFonts w:ascii="仿宋_GB2312" w:hAnsi="仿宋_GB2312" w:cs="仿宋_GB2312" w:eastAsia="仿宋_GB2312"/>
                <w:sz w:val="20"/>
              </w:rPr>
              <w:t xml:space="preserve">  3、施工图及图纸答疑等资料。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rPr>
              <w:t>四、施工要求</w:t>
            </w:r>
          </w:p>
          <w:p>
            <w:pPr>
              <w:pStyle w:val="null3"/>
              <w:jc w:val="both"/>
            </w:pPr>
            <w:r>
              <w:rPr>
                <w:rFonts w:ascii="仿宋_GB2312" w:hAnsi="仿宋_GB2312" w:cs="仿宋_GB2312" w:eastAsia="仿宋_GB2312"/>
                <w:sz w:val="20"/>
              </w:rPr>
              <w:t>（一）遵守国家相关法律、法规，遵守国家相关技术规范；</w:t>
            </w:r>
          </w:p>
          <w:p>
            <w:pPr>
              <w:pStyle w:val="null3"/>
              <w:jc w:val="both"/>
            </w:pPr>
            <w:r>
              <w:rPr>
                <w:rFonts w:ascii="仿宋_GB2312" w:hAnsi="仿宋_GB2312" w:cs="仿宋_GB2312" w:eastAsia="仿宋_GB2312"/>
                <w:sz w:val="20"/>
              </w:rPr>
              <w:t>（二）所选材料必须保证质量可靠、进货渠道正常，符合国家环保等相关标准，满足施工要求；</w:t>
            </w:r>
          </w:p>
          <w:p>
            <w:pPr>
              <w:pStyle w:val="null3"/>
              <w:jc w:val="both"/>
            </w:pPr>
            <w:r>
              <w:rPr>
                <w:rFonts w:ascii="仿宋_GB2312" w:hAnsi="仿宋_GB2312" w:cs="仿宋_GB2312" w:eastAsia="仿宋_GB2312"/>
                <w:sz w:val="20"/>
              </w:rPr>
              <w:t>（三）工程质量符合国家有关规范，确保达到合格；</w:t>
            </w:r>
          </w:p>
          <w:p>
            <w:pPr>
              <w:pStyle w:val="null3"/>
              <w:jc w:val="both"/>
            </w:pPr>
            <w:r>
              <w:rPr>
                <w:rFonts w:ascii="仿宋_GB2312" w:hAnsi="仿宋_GB2312" w:cs="仿宋_GB2312" w:eastAsia="仿宋_GB2312"/>
                <w:sz w:val="20"/>
              </w:rPr>
              <w:t>（四）该工程项目质量保修期按有关文件规定执行；</w:t>
            </w:r>
          </w:p>
          <w:p>
            <w:pPr>
              <w:pStyle w:val="null3"/>
              <w:jc w:val="both"/>
            </w:pPr>
            <w:r>
              <w:rPr>
                <w:rFonts w:ascii="仿宋_GB2312" w:hAnsi="仿宋_GB2312" w:cs="仿宋_GB2312" w:eastAsia="仿宋_GB2312"/>
                <w:sz w:val="20"/>
              </w:rPr>
              <w:t>（五）遵守有关施工规范和安全操作规程，采取有效的安全保障措施，确保施工安全，包括悬挂警示标牌、装设围栏、配备安全人员等，并承担事故的全部费用和责任；</w:t>
            </w:r>
          </w:p>
          <w:p>
            <w:pPr>
              <w:pStyle w:val="null3"/>
              <w:jc w:val="both"/>
            </w:pPr>
            <w:r>
              <w:rPr>
                <w:rFonts w:ascii="仿宋_GB2312" w:hAnsi="仿宋_GB2312" w:cs="仿宋_GB2312" w:eastAsia="仿宋_GB2312"/>
                <w:sz w:val="20"/>
              </w:rPr>
              <w:t>（六）施工单位必须服从当地对治安、卫生、环保、社会保险等工程建设的统一管理，并按有关规定交纳费用以及因违反相关规定而造成的罚款；</w:t>
            </w:r>
          </w:p>
          <w:p>
            <w:pPr>
              <w:pStyle w:val="null3"/>
              <w:jc w:val="both"/>
            </w:pPr>
            <w:r>
              <w:rPr>
                <w:rFonts w:ascii="仿宋_GB2312" w:hAnsi="仿宋_GB2312" w:cs="仿宋_GB2312" w:eastAsia="仿宋_GB2312"/>
                <w:sz w:val="20"/>
              </w:rPr>
              <w:t>（七）本工程不允许转包；</w:t>
            </w:r>
          </w:p>
          <w:p>
            <w:pPr>
              <w:pStyle w:val="null3"/>
              <w:jc w:val="both"/>
            </w:pPr>
            <w:r>
              <w:rPr>
                <w:rFonts w:ascii="仿宋_GB2312" w:hAnsi="仿宋_GB2312" w:cs="仿宋_GB2312" w:eastAsia="仿宋_GB2312"/>
                <w:sz w:val="20"/>
              </w:rPr>
              <w:t>（八）爱护采购方设施设备，不能为施工方便未经甲方书面同意损坏采购方设施设备；</w:t>
            </w:r>
          </w:p>
          <w:p>
            <w:pPr>
              <w:pStyle w:val="null3"/>
              <w:jc w:val="both"/>
            </w:pPr>
            <w:r>
              <w:rPr>
                <w:rFonts w:ascii="仿宋_GB2312" w:hAnsi="仿宋_GB2312" w:cs="仿宋_GB2312" w:eastAsia="仿宋_GB2312"/>
                <w:sz w:val="20"/>
              </w:rPr>
              <w:t>（九）供应商自行办理垃圾清理手续，遵守当地政府垃圾分类处理有关规定，承担自行处置不当导致的全部费用和责任。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工程质量符合国家有关规范，确保达到合格。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一、本项目包工、包料、包工期、包质量、包安全、包调试、包垃圾外运、包文明施工，成交供应商要结合工程情况合理报价，按照采购人要求施工。 二、漏项处理：施工过程中发现工程量清单中存在漏项工程的，该漏项工程作为本项目采购的组成部分，采购人和供应商可以按照《中华人民共和国政府采购法》的规定协商解决。 三、编制说明： （一）工程概况 本工程位于陕西省西安市雁塔区,工程内容包括后勤服务楼五楼国际学生宿舍改造；办公楼一层损坏吊顶维修；篮球场周边排水系统维修；操场西侧塑胶跑道维修翻新；浴池门口修缮等工程。 1.后勤服务楼五楼国际学生宿舍改造工程包括：改造15间学生宿舍的墙面、顶面乳胶漆按（其中8间宿舍按照标准间进行线路改造）；1间活动室的墙面、顶面乳胶漆（增设4米橱柜及上下水改造）；楼道铝方通吊顶及墙面乳胶漆；更换灯具20盏；洗衣房1间包管道、增设铝扣板吊顶；1间公共卫生间更换坐便、蹲便及水箱、隔断，增设铝扣板吊顶。 2.办公楼一层损坏吊顶维修工程：吊顶维修，铝合金门变更为电动伸缩门； 3.篮球场周边排水系统维修工程包含球场南侧新建排水沟，北侧实训基地门口排水系统改造； 4.操场西侧塑胶跑道维修翻新工程内容为餐厅东侧至8号公寓东侧约2200平方米塑胶跑道的喷胶翻新。 5.浴池门口修缮工程包含新作浴池门头，更换浴池大门，局部外立面优化，室外台阶改造，浴池门口至塑胶跑道新修石材道路，新修石材道路两侧道牙石，消防水池东侧、南侧损坏地砖修补等工程内容 （二）编制依据 1、西安职业技术学院-院本部零星维修工程 招标设计图纸以及标准图集。 2、西安职业技术学院-院本部零星维修工程 根据现场实际测量及其他资料。 3、(1) 《陕西省建设工程工程量清单计价计算标准》(2025) (2)《陕西省建设工程费用规则》(2025) (3)《陕西省房屋建筑与装饰工程基价表》(2025) (4)《陕西省通用安装工程基价表》(2025) (5)《陕西省市政工程基价表》(2025) (6)《陕西省园林绿化工程基价表》(2025) (7)《陕西省城市地下综合管廊工程基价表》(2025) (8)《陕西省绿色建筑工程基价表》(2025) (9)《陕西省房屋建筑与装饰工程消耗量定额》(2025) (10)《陕西省通用安装工程消耗量定额》(2025) (11)《陕西省市政工程消耗量定额》(2025) (12)《陕西省园林绿化工程消耗量定额》(2025) (13)《陕西省城市地下综合管廊工程消耗量定额》(2025) (14)《陕西省绿色建筑工程消耗量定额》(2025) (15)《陕西省建设工程施工机械台班费用定额》(2025) (16)《陕西省建设工程施工仪器仪表台班费用定额》(2025) (17)《陕西省住房和城乡建设厅关于印发2025陕西省建设工程费用规则等计价依据的通知》(陕建管发[2025]10 号文件) 4、施工现场情况及常规的施工组织方案和工程验收规范。 5、其他相关资料。 （三）材料价格 1、材料价格执行《陕西省工程造价信息》2025年第5期及市场调研价。 （四）费用计取 1、本次预算含拆除、垃圾清理、垃圾外运、基层处理、新建施工工程过程中的全部内容； 2、浴室门口改造工程（完成门头改造设计图纸中的所有工作内容，包括但不限于更换门、灯、墙、顶的装修以及拆除、清理、垃圾外运、工完场清等工作）按15000.00元暂列金计入其他项目费中，投标人投标报价时不得随意调整； 3、后勤服务楼五楼国际学生宿舍改造新建会议室、走道乳胶漆墙面工程量各暂按50.00m2、会议室、走道乳胶漆顶棚工程量各暂按50.00m2计入； （五）其他说明 广联达计价版本号：GCCP7.0 7.5000.23.1</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1、提供合格有效的法人或者其他组织的营业执照等证明文件，自然人的身份证明；（供应商是法人或其他组织的应提供营业执照等证明文件，供应商是自然人的应提供有效的自然人身份证明。） 2、提供【2023 或2024年度经审计的已赋码且完整的财务报告；（成立时间至提交磋商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3、税收证明：提供递交磋商文件截止日前一年内任意一个月的依法缴纳税收的完税证明，完税证明应有税务机关或代收机关的公章或业务专用章。依法免税或无须缴纳税收的供应商，应提供相关证明材料。 4、社保证明：提供磋商截止日前一年内已缴存的至少一个月的社会保障资金缴存单据或社保机构开具的社会保险参保缴费情况证明，依法不需要缴纳社会保障资金的单位应提供相关证明材料。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6资格证明文件.docx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磋商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磋商截止日期前三个月内其基本开户银行出具的资信证明（附开户许可证或开户备案证明或基本账户信息）】,以上形式的证明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5承诺书.docx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6资格证明文件.docx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一年内在本单位已缴存的至少一个月的社会保险参保缴费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供应商应具备建筑工程施工总承包三级及以上资质并具备有效的安全生产许可证。</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拟派项目负责人（项目经理）资质</w:t>
            </w:r>
          </w:p>
        </w:tc>
        <w:tc>
          <w:tcPr>
            <w:tcW w:type="dxa" w:w="3322"/>
          </w:tcPr>
          <w:p>
            <w:pPr>
              <w:pStyle w:val="null3"/>
            </w:pPr>
            <w:r>
              <w:rPr>
                <w:rFonts w:ascii="仿宋_GB2312" w:hAnsi="仿宋_GB2312" w:cs="仿宋_GB2312" w:eastAsia="仿宋_GB2312"/>
              </w:rPr>
              <w:t>项目经理具备在本单位注册的建筑工程专业二级及以上注册建造师资格和安全生产考核合格证，且无不良记录及未担任其他在施建设工程项目的项目经理（提供承诺书）。</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6资格证明文件.docx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6资格证明文件.docx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1报价一览表.docx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2已标价工程量清单.docx 7其他可以证明供应商实力的文件.docx 中小企业声明函 5承诺书.docx 强制优先采购产品承诺函 4商务响应与说明.docx 响应文件封面 6资格证明文件.docx 3磋商方案说明.docx 残疾人福利性单位声明函 1报价一览表.docx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2已标价工程量清单.docx 7其他可以证明供应商实力的文件.docx 中小企业声明函 5承诺书.docx 强制优先采购产品承诺函 4商务响应与说明.docx 响应文件封面 6资格证明文件.docx 3磋商方案说明.docx 1报价一览表.docx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2已标价工程量清单.docx 1报价一览表.docx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2已标价工程量清单.docx 7其他可以证明供应商实力的文件.docx 中小企业声明函 5承诺书.docx 强制优先采购产品承诺函 4商务响应与说明.docx 响应文件封面 6资格证明文件.docx 3磋商方案说明.docx 残疾人福利性单位声明函 1报价一览表.docx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1报价一览表.docx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应满足磋商文件的规定。</w:t>
            </w:r>
          </w:p>
        </w:tc>
        <w:tc>
          <w:tcPr>
            <w:tcW w:type="dxa" w:w="1661"/>
          </w:tcPr>
          <w:p>
            <w:pPr>
              <w:pStyle w:val="null3"/>
            </w:pPr>
            <w:r>
              <w:rPr>
                <w:rFonts w:ascii="仿宋_GB2312" w:hAnsi="仿宋_GB2312" w:cs="仿宋_GB2312" w:eastAsia="仿宋_GB2312"/>
              </w:rPr>
              <w:t>1报价一览表.docx 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应满足磋商文件的规定。</w:t>
            </w:r>
          </w:p>
        </w:tc>
        <w:tc>
          <w:tcPr>
            <w:tcW w:type="dxa" w:w="1661"/>
          </w:tcPr>
          <w:p>
            <w:pPr>
              <w:pStyle w:val="null3"/>
            </w:pPr>
            <w:r>
              <w:rPr>
                <w:rFonts w:ascii="仿宋_GB2312" w:hAnsi="仿宋_GB2312" w:cs="仿宋_GB2312" w:eastAsia="仿宋_GB2312"/>
              </w:rPr>
              <w:t>响应文件封面 1报价一览表.docx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2已标价工程量清单.docx 7其他可以证明供应商实力的文件.docx 中小企业声明函 5承诺书.docx 强制优先采购产品承诺函 4商务响应与说明.docx 响应文件封面 6资格证明文件.docx 3磋商方案说明.docx 残疾人福利性单位声明函 1报价一览表.docx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具体的实施方案，包括但不限于：①后勤服务楼五楼国际学生宿舍改造方案；②办公楼一层损坏吊顶维修方案；③篮球场周边排水系统维修方案；④操场西侧塑胶跑道维修翻新方案；⑤浴池门口修缮方案。 方案各部分内容全面详细、阐述条理清晰详尽、符合本项目采购需求，能够确保项目顺利实施，得15分；以上分项每缺少一项内容扣3分；有某一项不完整或不符合实际要求或不满足实施要求或套用其他项目内容的每项扣（0-3）。</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安全作业方案</w:t>
            </w:r>
          </w:p>
        </w:tc>
        <w:tc>
          <w:tcPr>
            <w:tcW w:type="dxa" w:w="2492"/>
          </w:tcPr>
          <w:p>
            <w:pPr>
              <w:pStyle w:val="null3"/>
            </w:pPr>
            <w:r>
              <w:rPr>
                <w:rFonts w:ascii="仿宋_GB2312" w:hAnsi="仿宋_GB2312" w:cs="仿宋_GB2312" w:eastAsia="仿宋_GB2312"/>
              </w:rPr>
              <w:t>根据针对本项目提供的安全作业方案进行综合评审。 1、方案内容具体、详细，合理可行，完全符合并优于采购人安全作业的要求，得7分； 2、方案内容较详细、较完整，较合理可行，符合采购人安全作业的要求，得5分； 3、方案内容有一定针对性，基本合理可行，基本符合采购人安全作业的要求，得3分； 4、方案内容简单笼统，无针对性，得1分。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根据针对本项目提供的文明施工措施计划进行综合评审。 1、措施计划详尽、合理且切实可行，完全满足采购人需求，得7分； 2、措施计划较全面、合理、切实可行，满足采购人需求，得5分； 3、措施计划较全面、合理、基本可行，基本满足采购人需求，得3分； 4、措施计划简单笼统，无针对性，得1分；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针对本项目提供的项目进度计划和工期目标情况进行综合评审。。 1、进度计划安排合理、措施有效，工期目标明确，满足采购人要求，得6分； 2、进度计划安排较合理、措施较有效，工期目标基本清晰，基本满足采购人要求，得4分； 3、进度计划和工期目标内容简单笼统，无针对性，得2分。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治污减霾、防尘污染技术措施</w:t>
            </w:r>
          </w:p>
        </w:tc>
        <w:tc>
          <w:tcPr>
            <w:tcW w:type="dxa" w:w="2492"/>
          </w:tcPr>
          <w:p>
            <w:pPr>
              <w:pStyle w:val="null3"/>
            </w:pPr>
            <w:r>
              <w:rPr>
                <w:rFonts w:ascii="仿宋_GB2312" w:hAnsi="仿宋_GB2312" w:cs="仿宋_GB2312" w:eastAsia="仿宋_GB2312"/>
              </w:rPr>
              <w:t>根据针对本项目提供的治污减霾、防尘污染技术措施进行综合评审。 1、技术措施内容完善、科学合理可行性强，满足采购人需求，得5分； 2、技术措施内容较完善、有一定合理可行性，基本满足采购人需求，得3分； 3、技术措施简单笼统，无针对性，得1分。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w:t>
            </w:r>
          </w:p>
        </w:tc>
        <w:tc>
          <w:tcPr>
            <w:tcW w:type="dxa" w:w="2492"/>
          </w:tcPr>
          <w:p>
            <w:pPr>
              <w:pStyle w:val="null3"/>
            </w:pPr>
            <w:r>
              <w:rPr>
                <w:rFonts w:ascii="仿宋_GB2312" w:hAnsi="仿宋_GB2312" w:cs="仿宋_GB2312" w:eastAsia="仿宋_GB2312"/>
              </w:rPr>
              <w:t>根据针对本项目提供的质量保证体系及措施进行综合评审。 1、质量保证体系健全，措施科学合理可行性强，满足采购人需求，得5分； 2、质量保证体系内容较完善，措施有一定合理可行性，基本满足采购人需求，得3分； 3、质量保证体系及措施简单笼统，无针对性，得1分。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机具设备配置情况</w:t>
            </w:r>
          </w:p>
        </w:tc>
        <w:tc>
          <w:tcPr>
            <w:tcW w:type="dxa" w:w="2492"/>
          </w:tcPr>
          <w:p>
            <w:pPr>
              <w:pStyle w:val="null3"/>
            </w:pPr>
            <w:r>
              <w:rPr>
                <w:rFonts w:ascii="仿宋_GB2312" w:hAnsi="仿宋_GB2312" w:cs="仿宋_GB2312" w:eastAsia="仿宋_GB2312"/>
              </w:rPr>
              <w:t>根据针对本项目提供的拟投入本项目主要机具、设备配置情况进行综合评审。 1、机具设备数量充足，与项目匹配度高，完全满足项目需要，得5分； 2、机具设备数量、与项目基本匹配，基本满足项目需要，得3分； 3、机具设备配置简单，无针对性，无法确保满足项目需要，得1分。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根据针对本项目提供的人员配置情况进行综合评审。 1、人员配置合理，专业性强，完全满足项目需要，能够确保项目顺利开展，得5分； 2、人员配置较合理，专业性较强，基本能够确保项目顺利开展，得3分； 3、人员配置简单，专业性、针对性欠缺，得1分。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根据针对本项目提供的风险预防及应急预案进行综合评审。 1、风险预测与防范内容完善，针对性强，预案及措施科学合理可行性强，得5分； 2、风险预测与防范内容较完善，预案及措施有一定针对性和可行性强，得3分； 3、风险预测与防范内容、预案及措施内容简单笼统，无针对性，得1分。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供应商具有2023年3月1日至今的类似项目业绩（以合同签订时间为准），每提供一份有效业绩得2分，最高得10分。 备注：1、业绩证明材料以同时提供的中标通知书和合同的复印件或扫描件并加盖供应商公章为准。2、合同主体须为供应商本企业。3、未提供或不符合要求不得分。弄虚作假者取消其成交资格。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7其他可以证明供应商实力的文件.docx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、经初审合格的响应文件，其磋商最终报价为有效磋商报价。 2、有效最低报价为磋商基准价。 3、磋商报价按（磋商基准价/有效磋商报价）×30的公式计算其得分。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1报价一览表.docx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2已标价工程量清单.docx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详见附件：1报价一览表.docx</w:t>
      </w:r>
    </w:p>
    <w:p>
      <w:pPr>
        <w:pStyle w:val="null3"/>
        <w:ind w:firstLine="960"/>
      </w:pPr>
      <w:r>
        <w:rPr>
          <w:rFonts w:ascii="仿宋_GB2312" w:hAnsi="仿宋_GB2312" w:cs="仿宋_GB2312" w:eastAsia="仿宋_GB2312"/>
        </w:rPr>
        <w:t>详见附件：2已标价工程量清单.docx</w:t>
      </w:r>
    </w:p>
    <w:p>
      <w:pPr>
        <w:pStyle w:val="null3"/>
        <w:ind w:firstLine="960"/>
      </w:pPr>
      <w:r>
        <w:rPr>
          <w:rFonts w:ascii="仿宋_GB2312" w:hAnsi="仿宋_GB2312" w:cs="仿宋_GB2312" w:eastAsia="仿宋_GB2312"/>
        </w:rPr>
        <w:t>详见附件：3磋商方案说明.docx</w:t>
      </w:r>
    </w:p>
    <w:p>
      <w:pPr>
        <w:pStyle w:val="null3"/>
        <w:ind w:firstLine="960"/>
      </w:pPr>
      <w:r>
        <w:rPr>
          <w:rFonts w:ascii="仿宋_GB2312" w:hAnsi="仿宋_GB2312" w:cs="仿宋_GB2312" w:eastAsia="仿宋_GB2312"/>
        </w:rPr>
        <w:t>详见附件：4商务响应与说明.docx</w:t>
      </w:r>
    </w:p>
    <w:p>
      <w:pPr>
        <w:pStyle w:val="null3"/>
        <w:ind w:firstLine="960"/>
      </w:pPr>
      <w:r>
        <w:rPr>
          <w:rFonts w:ascii="仿宋_GB2312" w:hAnsi="仿宋_GB2312" w:cs="仿宋_GB2312" w:eastAsia="仿宋_GB2312"/>
        </w:rPr>
        <w:t>详见附件：5承诺书.docx</w:t>
      </w:r>
    </w:p>
    <w:p>
      <w:pPr>
        <w:pStyle w:val="null3"/>
        <w:ind w:firstLine="960"/>
      </w:pPr>
      <w:r>
        <w:rPr>
          <w:rFonts w:ascii="仿宋_GB2312" w:hAnsi="仿宋_GB2312" w:cs="仿宋_GB2312" w:eastAsia="仿宋_GB2312"/>
        </w:rPr>
        <w:t>详见附件：6资格证明文件.docx</w:t>
      </w:r>
    </w:p>
    <w:p>
      <w:pPr>
        <w:pStyle w:val="null3"/>
        <w:ind w:firstLine="960"/>
      </w:pPr>
      <w:r>
        <w:rPr>
          <w:rFonts w:ascii="仿宋_GB2312" w:hAnsi="仿宋_GB2312" w:cs="仿宋_GB2312" w:eastAsia="仿宋_GB2312"/>
        </w:rPr>
        <w:t>详见附件：7其他可以证明供应商实力的文件.docx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