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版本号：DX2025-198-120250804001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2025年医疗废物集中处置服务(二次)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DX2025-198-1</w:t>
      </w:r>
      <w:r>
        <w:br/>
      </w:r>
      <w:r>
        <w:br/>
      </w:r>
      <w:r>
        <w:br/>
      </w:r>
    </w:p>
    <w:p>
      <w:pPr>
        <w:pStyle w:val="null3"/>
        <w:jc w:val="center"/>
        <w:outlineLvl w:val="5"/>
      </w:pPr>
      <w:r>
        <w:rPr>
          <w:rFonts w:ascii="仿宋_GB2312" w:hAnsi="仿宋_GB2312" w:cs="仿宋_GB2312" w:eastAsia="仿宋_GB2312"/>
          <w:sz w:val="15"/>
          <w:b/>
        </w:rPr>
        <w:t>西安市第九医院</w:t>
      </w:r>
    </w:p>
    <w:p>
      <w:pPr>
        <w:pStyle w:val="null3"/>
        <w:jc w:val="center"/>
        <w:outlineLvl w:val="5"/>
      </w:pPr>
      <w:r>
        <w:rPr>
          <w:rFonts w:ascii="仿宋_GB2312" w:hAnsi="仿宋_GB2312" w:cs="仿宋_GB2312" w:eastAsia="仿宋_GB2312"/>
          <w:sz w:val="15"/>
          <w:b/>
        </w:rPr>
        <w:t>陕西笃信招标有限公司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2025年医疗废物集中处置服务(二次)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DX2025-198-1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2025年医疗废物集中处置服务(二次)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2025年医疗废物集中处置服务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采购包1（2025年度医疗废物集中处置服务）：属于专门面向中小企业采购。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1、政府采购法第二十二条规定的条件 ：1、营业执照等主体资格证明文件：提供统一社会信用代码的营业执照或其他组织经营的合法凭证或自然人的提供身份证明文件。 2、财务状况报告：提供具有财务审计资质单位出具的2024年度财务报告或开标前六个月内其基本账户银行出具的资信证明或财政部门认可的政府采购专业担保机构出具的担保函，以上形式的证明资料提供任何一种即可。 3、税收缴纳证明：提供已缴纳的 2024年6月1日以来任意时间段的纳税证明或完税证明，纳税证明或完税证明上应有代收机构或税务机关的公章或业务专用章。依法免税的投标人应提供相关文件证明。 4、社保缴纳证明：提供已缴存的 2024年6月1日以来任意时间段的社会保障资金缴存单据或社保机构开具的社会保险参保缴费情况证明。成立时间至提交投标文件截止时间不足一个月或依法不需要缴纳社会保障资金的投标人应提供相关文件证明。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2、法定代表人授权委托书 ：法定代表人直接参加的须出具法人身份证明并于营业执照信息一致，法定代表人授权代表参加的须出具法定代表人授权书及被授权人本单位证明（投标截止前六个月内任意一个月社保缴纳证明）</w:t>
      </w:r>
    </w:p>
    <w:p>
      <w:pPr>
        <w:pStyle w:val="null3"/>
      </w:pPr>
      <w:r>
        <w:rPr>
          <w:rFonts w:ascii="仿宋_GB2312" w:hAnsi="仿宋_GB2312" w:cs="仿宋_GB2312" w:eastAsia="仿宋_GB2312"/>
        </w:rPr>
        <w:t>3、信用记录 ：供应商未被列入“信用中国”网站记录的“失信被执行人”或“重大税收违法案件当事人”名单；不处于“中国政府采购网”记录的“政府采购严重违法失信行为记录名单”中的禁止参加政府采购活动期间。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4、供应商承诺书 ：1、供应商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p>
      <w:pPr>
        <w:pStyle w:val="null3"/>
      </w:pPr>
      <w:r>
        <w:rPr>
          <w:rFonts w:ascii="仿宋_GB2312" w:hAnsi="仿宋_GB2312" w:cs="仿宋_GB2312" w:eastAsia="仿宋_GB2312"/>
        </w:rPr>
        <w:t>5、特定资格 ：供应商应具备合法有效的《危险废物许可证》（经营范围包含医疗废物）或《医疗废物经营许可证》。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聂肖、张亚娜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2025年医疗废物集中处置服务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医疗废物集中处置服务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标的名称：医疗废物集中处置服务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1.供应商应严格按照《医疗废物管理条例》、《医疗废物集中处置技术规范》及《西安市医疗废物集中处置实施方案》的规定，按约定时间接收医疗废物，安全运抵处置中心并进行无害化处置。</w:t>
            </w:r>
          </w:p>
          <w:p>
            <w:pPr>
              <w:pStyle w:val="null3"/>
            </w:pPr>
            <w:r>
              <w:rPr>
                <w:rFonts w:ascii="仿宋_GB2312" w:hAnsi="仿宋_GB2312" w:cs="仿宋_GB2312" w:eastAsia="仿宋_GB2312"/>
              </w:rPr>
              <w:t>2.有专人负责医疗废物处置服务工作，根据医院上年度医疗废物产生量能提供相应数量的专用包装容器：包括包装袋、利器盒和周转桶。</w:t>
            </w:r>
          </w:p>
          <w:p>
            <w:pPr>
              <w:pStyle w:val="null3"/>
            </w:pPr>
            <w:r>
              <w:rPr>
                <w:rFonts w:ascii="仿宋_GB2312" w:hAnsi="仿宋_GB2312" w:cs="仿宋_GB2312" w:eastAsia="仿宋_GB2312"/>
              </w:rPr>
              <w:t>3.有专人负责医疗废物交接工作，对移交的医疗废物进行核实后填写《危险废物转移联单》(医疗废物专用)和《医疗废物运送登记卡》。</w:t>
            </w:r>
          </w:p>
          <w:p>
            <w:pPr>
              <w:pStyle w:val="null3"/>
              <w:jc w:val="both"/>
            </w:pPr>
            <w:r>
              <w:rPr>
                <w:rFonts w:ascii="仿宋_GB2312" w:hAnsi="仿宋_GB2312" w:cs="仿宋_GB2312" w:eastAsia="仿宋_GB2312"/>
              </w:rPr>
              <w:t>4.应按规定对医疗废物进行安全、规范地收集、运输、贮存和处置，并承担医疗废物在离开医院后发生的流失、泄漏、扩散以及其他违反环境保护和卫生要求的责任。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采购包1： 付款条件说明：“一次付清”为系统固定描述，实际付款方式以下列描述为准：按季度结算，乙方于每季度10日前向甲方提供上季度处置费电子发票，甲方于收到发票后10日内将处置费支付给乙方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2.供应商应自协商文件递交截止时间起至谈判结束，保持在线状态。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政府采购法第二十二条规定的条件</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年度财务报告或开标前六个月内其基本账户银行出具的资信证明或财政部门认可的政府采购专业担保机构出具的担保函，以上形式的证明资料提供任何一种即可。 3、税收缴纳证明：提供已缴纳的 2024年6月1日以来任意时间段的纳税证明或完税证明，纳税证明或完税证明上应有代收机构或税务机关的公章或业务专用章。依法免税的投标人应提供相关文件证明。 4、社保缴纳证明：提供已缴存的 2024年6月1日以来任意时间段的社会保障资金缴存单据或社保机构开具的社会保险参保缴费情况证明。成立时间至提交投标文件截止时间不足一个月或依法不需要缴纳社会保障资金的投标人应提供相关文件证明。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法定代表人直接参加的须出具法人身份证明并于营业执照信息一致，法定代表人授权代表参加的须出具法定代表人授权书及被授权人本单位证明（投标截止前六个月内任意一个月社保缴纳证明）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供应商应具备合法有效的《危险废物许可证》（经营范围包含医疗废物）或《医疗废物经营许可证》。</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第一次谈判报价表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谈判报价表</w:t>
            </w:r>
          </w:p>
        </w:tc>
        <w:tc>
          <w:tcPr>
            <w:tcW w:type="dxa" w:w="3322"/>
          </w:tcPr>
          <w:p>
            <w:pPr>
              <w:pStyle w:val="null3"/>
            </w:pPr>
            <w:r>
              <w:rPr>
                <w:rFonts w:ascii="仿宋_GB2312" w:hAnsi="仿宋_GB2312" w:cs="仿宋_GB2312" w:eastAsia="仿宋_GB2312"/>
              </w:rPr>
              <w:t>（1）谈判报价符合唯一性要求； （2）谈判报价表填写符合要求； （3）计量单位、报价货币均符合招标文件要求； （4）未超出采购预算或采购文件规定的最高限价。</w:t>
            </w:r>
          </w:p>
        </w:tc>
        <w:tc>
          <w:tcPr>
            <w:tcW w:type="dxa" w:w="1661"/>
          </w:tcPr>
          <w:p>
            <w:pPr>
              <w:pStyle w:val="null3"/>
            </w:pPr>
            <w:r>
              <w:rPr>
                <w:rFonts w:ascii="仿宋_GB2312" w:hAnsi="仿宋_GB2312" w:cs="仿宋_GB2312" w:eastAsia="仿宋_GB2312"/>
              </w:rPr>
              <w:t>第一次谈判报价表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 供应商廉洁自律承诺书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无其他采购文件或法规明确规定响应无效的事项</w:t>
            </w:r>
          </w:p>
        </w:tc>
        <w:tc>
          <w:tcPr>
            <w:tcW w:type="dxa" w:w="3322"/>
          </w:tcPr>
          <w:p>
            <w:pPr>
              <w:pStyle w:val="null3"/>
            </w:pPr>
            <w:r>
              <w:rPr>
                <w:rFonts w:ascii="仿宋_GB2312" w:hAnsi="仿宋_GB2312" w:cs="仿宋_GB2312" w:eastAsia="仿宋_GB2312"/>
              </w:rPr>
              <w:t>采购文件规定的被视为无效响应的其他条款。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商务条款响应偏差表 服务方案</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详见附件：第一次谈判报价表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