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版本号：SXGS2025-ZC-008-320250804001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“智联未来、共创辉煌”西安丝路软件城电子消费品促销活动(三次)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SXGS2025-ZC-008-3</w:t>
      </w:r>
      <w:r>
        <w:br/>
      </w:r>
      <w:r>
        <w:br/>
      </w:r>
      <w:r>
        <w:br/>
      </w:r>
    </w:p>
    <w:p>
      <w:pPr>
        <w:pStyle w:val="null3"/>
        <w:jc w:val="center"/>
        <w:outlineLvl w:val="2"/>
      </w:pPr>
      <w:r>
        <w:rPr>
          <w:rFonts w:ascii="仿宋_GB2312" w:hAnsi="仿宋_GB2312" w:cs="仿宋_GB2312" w:eastAsia="仿宋_GB2312"/>
          <w:sz w:val="28"/>
          <w:b/>
        </w:rPr>
        <w:t>西安市商务局（本级）</w:t>
      </w:r>
    </w:p>
    <w:p>
      <w:pPr>
        <w:pStyle w:val="null3"/>
        <w:jc w:val="center"/>
        <w:outlineLvl w:val="2"/>
      </w:pPr>
      <w:r>
        <w:rPr>
          <w:rFonts w:ascii="仿宋_GB2312" w:hAnsi="仿宋_GB2312" w:cs="仿宋_GB2312" w:eastAsia="仿宋_GB2312"/>
          <w:sz w:val="28"/>
          <w:b/>
        </w:rPr>
        <w:t>陕西亘上项目管理咨询有限公司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2025年08月04日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陕西亘上项目管理咨询有限公司</w:t>
      </w:r>
      <w:r>
        <w:rPr>
          <w:rFonts w:ascii="仿宋_GB2312" w:hAnsi="仿宋_GB2312" w:cs="仿宋_GB2312" w:eastAsia="仿宋_GB2312"/>
        </w:rPr>
        <w:t>（以下简称“代理机构”）受</w:t>
      </w:r>
      <w:r>
        <w:rPr>
          <w:rFonts w:ascii="仿宋_GB2312" w:hAnsi="仿宋_GB2312" w:cs="仿宋_GB2312" w:eastAsia="仿宋_GB2312"/>
        </w:rPr>
        <w:t>西安市商务局（本级）</w:t>
      </w:r>
      <w:r>
        <w:rPr>
          <w:rFonts w:ascii="仿宋_GB2312" w:hAnsi="仿宋_GB2312" w:cs="仿宋_GB2312" w:eastAsia="仿宋_GB2312"/>
        </w:rPr>
        <w:t>委托，拟对</w:t>
      </w:r>
      <w:r>
        <w:rPr>
          <w:rFonts w:ascii="仿宋_GB2312" w:hAnsi="仿宋_GB2312" w:cs="仿宋_GB2312" w:eastAsia="仿宋_GB2312"/>
        </w:rPr>
        <w:t>“智联未来、共创辉煌”西安丝路软件城电子消费品促销活动(三次)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SXGS2025-ZC-008-3</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“智联未来、共创辉煌”西安丝路软件城电子消费品促销活动(三次)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结合3C数码以旧换新活动，组织全市重点电子产品销售企业，采取购物有礼、发放消费券等方式、开展智能手机、平板电脑、智能穿戴设备、智慧家电、智慧家居、无人机、智慧安防设备等科技产品促消费活动，让消费者体验更便捷、购买更方便。同时，通过创造新的消费场景、刺激新的消费需求、拓展新的消费市场等方式，对西安市商务局的助企惠民措施进行宣传、对西安特色企业的特色产品进行推广促销，为企业带来销售收入的新增量。</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采购包1（“智联未来、共创辉煌”西安丝路软件城电子消费品促销活动）：属于专门面向中小企业采购。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1、独立承担民事责任能力：具有独立承担民事责任能力的法人或其他组织，提供统一社会信用代码的营业执照或事业单位法人证书国家规定的相关证明；</w:t>
      </w:r>
    </w:p>
    <w:p>
      <w:pPr>
        <w:pStyle w:val="null3"/>
      </w:pPr>
      <w:r>
        <w:rPr>
          <w:rFonts w:ascii="仿宋_GB2312" w:hAnsi="仿宋_GB2312" w:cs="仿宋_GB2312" w:eastAsia="仿宋_GB2312"/>
        </w:rPr>
        <w:t>2、财务状况：提供2023或2024年度的财务审计报告（至少包括资产负债表和利润表，成立时间至提交投标文件截止时间不足一年的可提供成立后任意时段的资产负债表）；或其开标前半年内基本存款账户开户银行出具的资信证明；</w:t>
      </w:r>
    </w:p>
    <w:p>
      <w:pPr>
        <w:pStyle w:val="null3"/>
      </w:pPr>
      <w:r>
        <w:rPr>
          <w:rFonts w:ascii="仿宋_GB2312" w:hAnsi="仿宋_GB2312" w:cs="仿宋_GB2312" w:eastAsia="仿宋_GB2312"/>
        </w:rPr>
        <w:t>3、税收缴纳证明：提供2024年5月至今已缴纳的任意1个月的纳税证明或完税证明，依法免税的单位应提供相关证明材料；</w:t>
      </w:r>
    </w:p>
    <w:p>
      <w:pPr>
        <w:pStyle w:val="null3"/>
      </w:pPr>
      <w:r>
        <w:rPr>
          <w:rFonts w:ascii="仿宋_GB2312" w:hAnsi="仿宋_GB2312" w:cs="仿宋_GB2312" w:eastAsia="仿宋_GB2312"/>
        </w:rPr>
        <w:t>4、社会保障资金：提供2024年5月至今已缴纳的任意1个月的社会保障资金缴存单据或社保机构开具的社会保险参保缴费情况证明，依法不需要缴纳社会保障资金的单位应提供相关证明材料；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5、身份证明：法定代表人授权书及被授权人身份证（法定代表人直接参加磋商的须提供其法定代表人身份证明），非法人单位参照执行;</w:t>
      </w:r>
    </w:p>
    <w:p>
      <w:pPr>
        <w:pStyle w:val="null3"/>
      </w:pPr>
      <w:r>
        <w:rPr>
          <w:rFonts w:ascii="仿宋_GB2312" w:hAnsi="仿宋_GB2312" w:cs="仿宋_GB2312" w:eastAsia="仿宋_GB2312"/>
        </w:rPr>
        <w:t>6、承诺：提供具有履行合同所必需的设备和专业技术能力的承诺；</w:t>
      </w:r>
    </w:p>
    <w:p>
      <w:pPr>
        <w:pStyle w:val="null3"/>
      </w:pPr>
      <w:r>
        <w:rPr>
          <w:rFonts w:ascii="仿宋_GB2312" w:hAnsi="仿宋_GB2312" w:cs="仿宋_GB2312" w:eastAsia="仿宋_GB2312"/>
        </w:rPr>
        <w:t>7、中小企业声明函：本项目为专门面向中小企业采购（提供中小企业声明函或监狱企业的证明文件或残疾人福利性单位声明函）；</w:t>
      </w:r>
    </w:p>
    <w:p>
      <w:pPr>
        <w:pStyle w:val="null3"/>
      </w:pPr>
      <w:r>
        <w:rPr>
          <w:rFonts w:ascii="仿宋_GB2312" w:hAnsi="仿宋_GB2312" w:cs="仿宋_GB2312" w:eastAsia="仿宋_GB2312"/>
        </w:rPr>
        <w:t>8、没有重大违法记录的书面声明：参加政府采购活动前三年内，在经营活动中没有重大违法记录的书面声明（成立时间至提交响应文件截止时间不足三年的可提供成立至今的书面声明）;</w:t>
      </w:r>
    </w:p>
    <w:p>
      <w:pPr>
        <w:pStyle w:val="null3"/>
      </w:pPr>
      <w:r>
        <w:rPr>
          <w:rFonts w:ascii="仿宋_GB2312" w:hAnsi="仿宋_GB2312" w:cs="仿宋_GB2312" w:eastAsia="仿宋_GB2312"/>
        </w:rPr>
        <w:t>9、信用中国：供应商不得为“信用中国(www.creditchina.gov.cn)”中列入失信被执行人和重大税收违法案件当事人名单的供应商，不得为“中国政府采购网(www.ccgp.gov.cn)” 政府采购严重违法失信行为记录名单中被财政部门禁止参加政府采购活动的供应商（采购代理机构查询时限为响应文件递交截止之日）；</w:t>
      </w:r>
    </w:p>
    <w:p>
      <w:pPr>
        <w:pStyle w:val="null3"/>
      </w:pPr>
      <w:r>
        <w:rPr>
          <w:rFonts w:ascii="仿宋_GB2312" w:hAnsi="仿宋_GB2312" w:cs="仿宋_GB2312" w:eastAsia="仿宋_GB2312"/>
        </w:rPr>
        <w:t>10、不接受联合体投标：本项目不接受联合体投标；</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西安市商务局（本级）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西安市未央区凤城八路109号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李智勃</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029-86786531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陕西亘上项目管理咨询有限公司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陕西省西安市未央区未央路荣豪大厦12层1222室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029-87363598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否</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否</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否</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以中标金额为基数，依据国家计委颁发的《招标代理服务收费管理暂行办法》（计价格[2002]1980号）国家发展和改革委员会办公厅颁发的《关于招标代理服务收费有关问题的通知》（发改办价格[2003]857号）的有关规定执行，代理服务费不足3300元按3300元收取。 中标单位在领取成交通知书前，须向采购代理机构一次性支付招标代理服务费。 开户名称：陕西亘上项目管理咨询有限公司； 开户银行：中国建设银行股份有限公司西安广安路支行 银行账号：61050173960009555555</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西安市商务局（本级）</w:t>
      </w:r>
      <w:r>
        <w:rPr>
          <w:rFonts w:ascii="仿宋_GB2312" w:hAnsi="仿宋_GB2312" w:cs="仿宋_GB2312" w:eastAsia="仿宋_GB2312"/>
        </w:rPr>
        <w:t>和</w:t>
      </w:r>
      <w:r>
        <w:rPr>
          <w:rFonts w:ascii="仿宋_GB2312" w:hAnsi="仿宋_GB2312" w:cs="仿宋_GB2312" w:eastAsia="仿宋_GB2312"/>
        </w:rPr>
        <w:t>陕西亘上项目管理咨询有限公司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西安市商务局（本级）</w:t>
      </w:r>
      <w:r>
        <w:rPr>
          <w:rFonts w:ascii="仿宋_GB2312" w:hAnsi="仿宋_GB2312" w:cs="仿宋_GB2312" w:eastAsia="仿宋_GB2312"/>
        </w:rPr>
        <w:t>负责解释。除上述磋商文件内容，其他内容由</w:t>
      </w:r>
      <w:r>
        <w:rPr>
          <w:rFonts w:ascii="仿宋_GB2312" w:hAnsi="仿宋_GB2312" w:cs="仿宋_GB2312" w:eastAsia="仿宋_GB2312"/>
        </w:rPr>
        <w:t>陕西亘上项目管理咨询有限公司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西安市商务局（本级）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陕西亘上项目管理咨询有限公司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按磋商文件、磋商响应文件等服务指标进行逐项验收，各项指标均应符合验收标准及要求。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陕西亘上项目管理咨询有限公司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陕西亘上项目管理咨询有限公司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陕西亘上项目管理咨询有限公司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联系人：李工</w:t>
      </w:r>
    </w:p>
    <w:p>
      <w:pPr>
        <w:pStyle w:val="null3"/>
      </w:pPr>
      <w:r>
        <w:rPr>
          <w:rFonts w:ascii="仿宋_GB2312" w:hAnsi="仿宋_GB2312" w:cs="仿宋_GB2312" w:eastAsia="仿宋_GB2312"/>
        </w:rPr>
        <w:t>联系电话：029-87363598</w:t>
      </w:r>
    </w:p>
    <w:p>
      <w:pPr>
        <w:pStyle w:val="null3"/>
      </w:pPr>
      <w:r>
        <w:rPr>
          <w:rFonts w:ascii="仿宋_GB2312" w:hAnsi="仿宋_GB2312" w:cs="仿宋_GB2312" w:eastAsia="仿宋_GB2312"/>
        </w:rPr>
        <w:t>地址：陕西省西安市未央区未央路荣豪大厦12层1222室</w:t>
      </w:r>
    </w:p>
    <w:p>
      <w:pPr>
        <w:pStyle w:val="null3"/>
      </w:pPr>
      <w:r>
        <w:rPr>
          <w:rFonts w:ascii="仿宋_GB2312" w:hAnsi="仿宋_GB2312" w:cs="仿宋_GB2312" w:eastAsia="仿宋_GB2312"/>
        </w:rPr>
        <w:t>邮编：710016</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结合3C数码以旧换新活动，组织全市重点电子产品销售企业，采取购物有礼、发放消费券等方式、开展智能手机、平板电脑、智能穿戴设备、智慧家电、智慧家居、无人机、智慧安防设备等科技产品促消费活动，让消费者体验更便捷、购买更方便。同时，通过创造新的消费场景、刺激新的消费需求、拓展新的消费市场等方式，对西安市商务局的助企惠民措施进行宣传、对西安特色企业的特色产品进行推广促销，为企业带来销售收入的新增量。</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500,000.00</w:t>
      </w:r>
    </w:p>
    <w:p>
      <w:pPr>
        <w:pStyle w:val="null3"/>
      </w:pPr>
      <w:r>
        <w:rPr>
          <w:rFonts w:ascii="仿宋_GB2312" w:hAnsi="仿宋_GB2312" w:cs="仿宋_GB2312" w:eastAsia="仿宋_GB2312"/>
        </w:rPr>
        <w:t>采购包最高限价（元）: 500,000.00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“智联未来、共创辉煌”西安丝路软件城电子消费品促销活动服务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标的名称：“智联未来、共创辉煌”西安丝路软件城电子消费品促销活动服务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一、项目概况</w:t>
            </w:r>
          </w:p>
          <w:p>
            <w:pPr>
              <w:pStyle w:val="null3"/>
            </w:pPr>
            <w:r>
              <w:rPr>
                <w:rFonts w:ascii="仿宋_GB2312" w:hAnsi="仿宋_GB2312" w:cs="仿宋_GB2312" w:eastAsia="仿宋_GB2312"/>
              </w:rPr>
              <w:t xml:space="preserve">      结合3C数码以旧换新活动，组织全市重点电子产品销售企业，采取购物有礼、发放消费券等方式、开展智能手机、平板电脑、智能穿戴设备、智慧家电、智慧家居、无人机、智慧安防设备等科技产品促消费活动，让消费者体验更便捷、购买更方便。同时，通过创造新的消费场景、刺激新的消费需求、拓展新的消费市场等方式，对西安市商务局的助企惠民措施进行宣传、对西安特色企业的特色产品进行推广促销，为企业带来销售收入的新增量。</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rPr>
              <w:t>二、服务内容（包括工作区域、工作内容等）</w:t>
            </w:r>
          </w:p>
          <w:p>
            <w:pPr>
              <w:pStyle w:val="null3"/>
            </w:pPr>
            <w:r>
              <w:rPr>
                <w:rFonts w:ascii="仿宋_GB2312" w:hAnsi="仿宋_GB2312" w:cs="仿宋_GB2312" w:eastAsia="仿宋_GB2312"/>
              </w:rPr>
              <w:t xml:space="preserve">      一、整体活动组织策划、制定活动方案、商户招展、活动现场组织执行和管理等工作。</w:t>
            </w:r>
          </w:p>
          <w:p>
            <w:pPr>
              <w:pStyle w:val="null3"/>
            </w:pPr>
            <w:r>
              <w:rPr>
                <w:rFonts w:ascii="仿宋_GB2312" w:hAnsi="仿宋_GB2312" w:cs="仿宋_GB2312" w:eastAsia="仿宋_GB2312"/>
              </w:rPr>
              <w:t xml:space="preserve">      二、活动场地搭建、氛围营造等工作。</w:t>
            </w:r>
          </w:p>
          <w:p>
            <w:pPr>
              <w:pStyle w:val="null3"/>
            </w:pPr>
            <w:r>
              <w:rPr>
                <w:rFonts w:ascii="仿宋_GB2312" w:hAnsi="仿宋_GB2312" w:cs="仿宋_GB2312" w:eastAsia="仿宋_GB2312"/>
              </w:rPr>
              <w:t xml:space="preserve">     1.活动场地协调及租赁等工作；</w:t>
            </w:r>
          </w:p>
          <w:p>
            <w:pPr>
              <w:pStyle w:val="null3"/>
            </w:pPr>
            <w:r>
              <w:rPr>
                <w:rFonts w:ascii="仿宋_GB2312" w:hAnsi="仿宋_GB2312" w:cs="仿宋_GB2312" w:eastAsia="仿宋_GB2312"/>
              </w:rPr>
              <w:t xml:space="preserve">     2.场地主舞台搭建：LED主屏、舞台（地毯）、礼宾桌椅、启动仪式道具、音响音控设备、灯光照明、隔离带等；</w:t>
            </w:r>
          </w:p>
          <w:p>
            <w:pPr>
              <w:pStyle w:val="null3"/>
            </w:pPr>
            <w:r>
              <w:rPr>
                <w:rFonts w:ascii="仿宋_GB2312" w:hAnsi="仿宋_GB2312" w:cs="仿宋_GB2312" w:eastAsia="仿宋_GB2312"/>
              </w:rPr>
              <w:t xml:space="preserve">     3.宣导装饰：舞台主背景、主题背景墙设计墙搭建，活动现场门头灯光渲染、灯带装饰等相关工作；</w:t>
            </w:r>
          </w:p>
          <w:p>
            <w:pPr>
              <w:pStyle w:val="null3"/>
            </w:pPr>
            <w:r>
              <w:rPr>
                <w:rFonts w:ascii="仿宋_GB2312" w:hAnsi="仿宋_GB2312" w:cs="仿宋_GB2312" w:eastAsia="仿宋_GB2312"/>
              </w:rPr>
              <w:t xml:space="preserve">     4.美陈及氛围营造：活动现场门头、吊旗、休息区桌椅等布置装饰，工作证等印刷；</w:t>
            </w:r>
          </w:p>
          <w:p>
            <w:pPr>
              <w:pStyle w:val="null3"/>
            </w:pPr>
            <w:r>
              <w:rPr>
                <w:rFonts w:ascii="仿宋_GB2312" w:hAnsi="仿宋_GB2312" w:cs="仿宋_GB2312" w:eastAsia="仿宋_GB2312"/>
              </w:rPr>
              <w:t xml:space="preserve">     5.设备租赁：舞台音响、灯光、电缆及配电等相关设备的租赁；</w:t>
            </w:r>
          </w:p>
          <w:p>
            <w:pPr>
              <w:pStyle w:val="null3"/>
            </w:pPr>
            <w:r>
              <w:rPr>
                <w:rFonts w:ascii="仿宋_GB2312" w:hAnsi="仿宋_GB2312" w:cs="仿宋_GB2312" w:eastAsia="仿宋_GB2312"/>
              </w:rPr>
              <w:t xml:space="preserve">    6.活动宣传：整体活动媒体宣传、视频制作等工作；</w:t>
            </w:r>
          </w:p>
          <w:p>
            <w:pPr>
              <w:pStyle w:val="null3"/>
            </w:pPr>
            <w:r>
              <w:rPr>
                <w:rFonts w:ascii="仿宋_GB2312" w:hAnsi="仿宋_GB2312" w:cs="仿宋_GB2312" w:eastAsia="仿宋_GB2312"/>
              </w:rPr>
              <w:t xml:space="preserve">     7.活动保障：活动现场保洁、安保等工作。</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pPr>
            <w:r>
              <w:rPr>
                <w:rFonts w:ascii="仿宋_GB2312" w:hAnsi="仿宋_GB2312" w:cs="仿宋_GB2312" w:eastAsia="仿宋_GB2312"/>
              </w:rPr>
              <w:t>三、技术要求（如有，一般适合于技术服务项目）</w:t>
            </w:r>
          </w:p>
          <w:p>
            <w:pPr>
              <w:pStyle w:val="null3"/>
            </w:pPr>
            <w:r>
              <w:rPr>
                <w:rFonts w:ascii="仿宋_GB2312" w:hAnsi="仿宋_GB2312" w:cs="仿宋_GB2312" w:eastAsia="仿宋_GB2312"/>
              </w:rPr>
              <w:t xml:space="preserve">     本次活动所有搭建，相关物料制作，必须符合相关行业的标准，并做好本次活动纸质资料、影像资料的留存。</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pPr>
            <w:r>
              <w:rPr>
                <w:rFonts w:ascii="仿宋_GB2312" w:hAnsi="仿宋_GB2312" w:cs="仿宋_GB2312" w:eastAsia="仿宋_GB2312"/>
              </w:rPr>
              <w:t>四、服务要求（如对人员配置、专业设备、服务标准等）</w:t>
            </w:r>
          </w:p>
          <w:p>
            <w:pPr>
              <w:pStyle w:val="null3"/>
            </w:pPr>
            <w:r>
              <w:rPr>
                <w:rFonts w:ascii="仿宋_GB2312" w:hAnsi="仿宋_GB2312" w:cs="仿宋_GB2312" w:eastAsia="仿宋_GB2312"/>
              </w:rPr>
              <w:t xml:space="preserve">    1.活动现场搭建方案内容详见、方便可行，安全可靠，能够完全满足采购人需求；</w:t>
            </w:r>
          </w:p>
          <w:p>
            <w:pPr>
              <w:pStyle w:val="null3"/>
            </w:pPr>
            <w:r>
              <w:rPr>
                <w:rFonts w:ascii="仿宋_GB2312" w:hAnsi="仿宋_GB2312" w:cs="仿宋_GB2312" w:eastAsia="仿宋_GB2312"/>
              </w:rPr>
              <w:t xml:space="preserve">    2.在规定时间内完成活动策划方案及整体设计，提交采购人</w:t>
            </w:r>
            <w:r>
              <w:br/>
            </w:r>
            <w:r>
              <w:rPr>
                <w:rFonts w:ascii="仿宋_GB2312" w:hAnsi="仿宋_GB2312" w:cs="仿宋_GB2312" w:eastAsia="仿宋_GB2312"/>
              </w:rPr>
              <w:t xml:space="preserve"> 进行审核，提出改进意见并修改方案至采购人满意。</w:t>
            </w:r>
          </w:p>
          <w:p>
            <w:pPr>
              <w:pStyle w:val="null3"/>
            </w:pPr>
            <w:r>
              <w:rPr>
                <w:rFonts w:ascii="仿宋_GB2312" w:hAnsi="仿宋_GB2312" w:cs="仿宋_GB2312" w:eastAsia="仿宋_GB2312"/>
              </w:rPr>
              <w:t xml:space="preserve">   3.活动期间，安排专人现场协调对接落实活动各项具体事宜，严格执行方案，确保展示效果。</w:t>
            </w:r>
          </w:p>
          <w:p>
            <w:pPr>
              <w:pStyle w:val="null3"/>
            </w:pPr>
            <w:r>
              <w:rPr>
                <w:rFonts w:ascii="仿宋_GB2312" w:hAnsi="仿宋_GB2312" w:cs="仿宋_GB2312" w:eastAsia="仿宋_GB2312"/>
              </w:rPr>
              <w:t xml:space="preserve">   4.按照活动要求，在严格遵守安保、消防等相关安全规定的情况下，按时按质按量完成活动现场各项工作，确保活动效果呈现。</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pPr>
            <w:r>
              <w:rPr>
                <w:rFonts w:ascii="仿宋_GB2312" w:hAnsi="仿宋_GB2312" w:cs="仿宋_GB2312" w:eastAsia="仿宋_GB2312"/>
              </w:rPr>
              <w:t>五、商务要求（如服务期限、款项结算等）</w:t>
            </w:r>
          </w:p>
          <w:p>
            <w:pPr>
              <w:pStyle w:val="null3"/>
            </w:pPr>
            <w:r>
              <w:rPr>
                <w:rFonts w:ascii="仿宋_GB2312" w:hAnsi="仿宋_GB2312" w:cs="仿宋_GB2312" w:eastAsia="仿宋_GB2312"/>
              </w:rPr>
              <w:t>（一）服务期限服务期限：自合同签订之日起至项目结束</w:t>
            </w:r>
          </w:p>
          <w:p>
            <w:pPr>
              <w:pStyle w:val="null3"/>
            </w:pPr>
            <w:r>
              <w:rPr>
                <w:rFonts w:ascii="仿宋_GB2312" w:hAnsi="仿宋_GB2312" w:cs="仿宋_GB2312" w:eastAsia="仿宋_GB2312"/>
              </w:rPr>
              <w:t>（二）款项结算</w:t>
            </w:r>
          </w:p>
          <w:p>
            <w:pPr>
              <w:pStyle w:val="null3"/>
            </w:pPr>
            <w:r>
              <w:rPr>
                <w:rFonts w:ascii="仿宋_GB2312" w:hAnsi="仿宋_GB2312" w:cs="仿宋_GB2312" w:eastAsia="仿宋_GB2312"/>
              </w:rPr>
              <w:t xml:space="preserve">           合同签订后，供应商开具等额的增值税普通发票，采购方收到符合要求的发票，达到付款条件后，20个工作日内向供应商支付合同金额的50%项目资金。</w:t>
            </w:r>
          </w:p>
          <w:p>
            <w:pPr>
              <w:pStyle w:val="null3"/>
            </w:pPr>
            <w:r>
              <w:rPr>
                <w:rFonts w:ascii="仿宋_GB2312" w:hAnsi="仿宋_GB2312" w:cs="仿宋_GB2312" w:eastAsia="仿宋_GB2312"/>
              </w:rPr>
              <w:t xml:space="preserve">             剩余50%，项目验收合格后，供应商开具等额的增值税普通发票，采购方收到符合要求的发票，达到付款条件后，20个工作日内向供应商支付合同金额的50%项目资金。</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pPr>
            <w:r>
              <w:rPr>
                <w:rFonts w:ascii="仿宋_GB2312" w:hAnsi="仿宋_GB2312" w:cs="仿宋_GB2312" w:eastAsia="仿宋_GB2312"/>
              </w:rPr>
              <w:t>六、其他（如有要求，请写明）</w:t>
            </w:r>
          </w:p>
          <w:p>
            <w:pPr>
              <w:pStyle w:val="null3"/>
            </w:pPr>
            <w:r>
              <w:rPr>
                <w:rFonts w:ascii="仿宋_GB2312" w:hAnsi="仿宋_GB2312" w:cs="仿宋_GB2312" w:eastAsia="仿宋_GB2312"/>
              </w:rPr>
              <w:t>（一）对服务商的业绩要求类似项目业绩</w:t>
            </w:r>
          </w:p>
          <w:p>
            <w:pPr>
              <w:pStyle w:val="null3"/>
            </w:pPr>
            <w:r>
              <w:rPr>
                <w:rFonts w:ascii="仿宋_GB2312" w:hAnsi="仿宋_GB2312" w:cs="仿宋_GB2312" w:eastAsia="仿宋_GB2312"/>
              </w:rPr>
              <w:t>（二）进度要求按甲方进度要求组织。</w:t>
            </w:r>
          </w:p>
          <w:p>
            <w:pPr>
              <w:pStyle w:val="null3"/>
            </w:pPr>
            <w:r>
              <w:rPr>
                <w:rFonts w:ascii="仿宋_GB2312" w:hAnsi="仿宋_GB2312" w:cs="仿宋_GB2312" w:eastAsia="仿宋_GB2312"/>
              </w:rPr>
              <w:t>（三）成果交付要求需达到采购人对项目的具体要求。</w:t>
            </w:r>
          </w:p>
          <w:p>
            <w:pPr>
              <w:pStyle w:val="null3"/>
            </w:pPr>
            <w:r>
              <w:rPr>
                <w:rFonts w:ascii="仿宋_GB2312" w:hAnsi="仿宋_GB2312" w:cs="仿宋_GB2312" w:eastAsia="仿宋_GB2312"/>
              </w:rPr>
              <w:t>（四）质量验收标准或规范</w:t>
            </w:r>
            <w:r>
              <w:br/>
            </w:r>
            <w:r>
              <w:rPr>
                <w:rFonts w:ascii="仿宋_GB2312" w:hAnsi="仿宋_GB2312" w:cs="仿宋_GB2312" w:eastAsia="仿宋_GB2312"/>
              </w:rPr>
              <w:t xml:space="preserve">     1、服务期满后按照成交供应商所提供的资料及数据进行验收；</w:t>
            </w:r>
          </w:p>
          <w:p>
            <w:pPr>
              <w:pStyle w:val="null3"/>
            </w:pPr>
            <w:r>
              <w:rPr>
                <w:rFonts w:ascii="仿宋_GB2312" w:hAnsi="仿宋_GB2312" w:cs="仿宋_GB2312" w:eastAsia="仿宋_GB2312"/>
              </w:rPr>
              <w:t xml:space="preserve">   2、最终验收：自合同签订之日起至完成全部项目内容，需按照采购人确定的时间完成交付并验收合格，验收合格后，填写验收单。</w:t>
            </w:r>
          </w:p>
          <w:p>
            <w:pPr>
              <w:pStyle w:val="null3"/>
            </w:pPr>
            <w:r>
              <w:rPr>
                <w:rFonts w:ascii="仿宋_GB2312" w:hAnsi="仿宋_GB2312" w:cs="仿宋_GB2312" w:eastAsia="仿宋_GB2312"/>
              </w:rPr>
              <w:t xml:space="preserve">  3、验收和评价方式</w:t>
            </w:r>
          </w:p>
          <w:p>
            <w:pPr>
              <w:pStyle w:val="null3"/>
            </w:pPr>
            <w:r>
              <w:rPr>
                <w:rFonts w:ascii="仿宋_GB2312" w:hAnsi="仿宋_GB2312" w:cs="仿宋_GB2312" w:eastAsia="仿宋_GB2312"/>
              </w:rPr>
              <w:t xml:space="preserve">  3.1  乙方提供的服务最终验收达不到磋商文件要求和磋商响应文件承诺及国家或行业标准，或在使用中发现甲方不能容忍的缺陷等，将视为验收不合格，乙方应在甲方要求的时间内无条件完善或要求赔付采购人损失。</w:t>
            </w:r>
          </w:p>
          <w:p>
            <w:pPr>
              <w:pStyle w:val="null3"/>
            </w:pPr>
            <w:r>
              <w:rPr>
                <w:rFonts w:ascii="仿宋_GB2312" w:hAnsi="仿宋_GB2312" w:cs="仿宋_GB2312" w:eastAsia="仿宋_GB2312"/>
              </w:rPr>
              <w:t xml:space="preserve">  3.2  若发现乙方有弄虚作假的，及在项目实施阶段故意或随意夸大服务，本项目合同解除，乙方赔偿甲方相应的损失。</w:t>
            </w:r>
          </w:p>
          <w:p>
            <w:pPr>
              <w:pStyle w:val="null3"/>
            </w:pPr>
            <w:r>
              <w:rPr>
                <w:rFonts w:ascii="仿宋_GB2312" w:hAnsi="仿宋_GB2312" w:cs="仿宋_GB2312" w:eastAsia="仿宋_GB2312"/>
              </w:rPr>
              <w:t xml:space="preserve">  3.3  验收标准：按磋商文件、磋商响应文件等服务指标进行逐项验收，各项指标均应符合验收标准及要求。</w:t>
            </w:r>
          </w:p>
          <w:p>
            <w:pPr>
              <w:pStyle w:val="null3"/>
            </w:pPr>
            <w:r>
              <w:rPr>
                <w:rFonts w:ascii="仿宋_GB2312" w:hAnsi="仿宋_GB2312" w:cs="仿宋_GB2312" w:eastAsia="仿宋_GB2312"/>
              </w:rPr>
              <w:t xml:space="preserve">  3.4  验收合格后，填写验收单，双方盖章、签字生效。</w:t>
            </w:r>
          </w:p>
          <w:p>
            <w:pPr>
              <w:pStyle w:val="null3"/>
            </w:pPr>
            <w:r>
              <w:rPr>
                <w:rFonts w:ascii="仿宋_GB2312" w:hAnsi="仿宋_GB2312" w:cs="仿宋_GB2312" w:eastAsia="仿宋_GB2312"/>
              </w:rPr>
              <w:t xml:space="preserve">  3.5  验收依据</w:t>
            </w:r>
          </w:p>
          <w:p>
            <w:pPr>
              <w:pStyle w:val="null3"/>
            </w:pPr>
            <w:r>
              <w:rPr>
                <w:rFonts w:ascii="仿宋_GB2312" w:hAnsi="仿宋_GB2312" w:cs="仿宋_GB2312" w:eastAsia="仿宋_GB2312"/>
              </w:rPr>
              <w:t xml:space="preserve">  3.5.1  合同文本。</w:t>
            </w:r>
          </w:p>
          <w:p>
            <w:pPr>
              <w:pStyle w:val="null3"/>
            </w:pPr>
            <w:r>
              <w:rPr>
                <w:rFonts w:ascii="仿宋_GB2312" w:hAnsi="仿宋_GB2312" w:cs="仿宋_GB2312" w:eastAsia="仿宋_GB2312"/>
              </w:rPr>
              <w:t xml:space="preserve">  3.5.2  磋商响应文件、磋商文件、澄清函。</w:t>
            </w:r>
          </w:p>
          <w:p>
            <w:pPr>
              <w:pStyle w:val="null3"/>
            </w:pPr>
            <w:r>
              <w:rPr>
                <w:rFonts w:ascii="仿宋_GB2312" w:hAnsi="仿宋_GB2312" w:cs="仿宋_GB2312" w:eastAsia="仿宋_GB2312"/>
              </w:rPr>
              <w:t xml:space="preserve">  3.5.3  国家和行业制定的相应的标准和规范。</w:t>
            </w:r>
          </w:p>
          <w:p>
            <w:pPr>
              <w:pStyle w:val="null3"/>
            </w:pPr>
            <w:r>
              <w:rPr>
                <w:rFonts w:ascii="仿宋_GB2312" w:hAnsi="仿宋_GB2312" w:cs="仿宋_GB2312" w:eastAsia="仿宋_GB2312"/>
              </w:rPr>
              <w:t>（五）违约责任</w:t>
            </w:r>
          </w:p>
          <w:p>
            <w:pPr>
              <w:pStyle w:val="null3"/>
            </w:pPr>
            <w:r>
              <w:rPr>
                <w:rFonts w:ascii="仿宋_GB2312" w:hAnsi="仿宋_GB2312" w:cs="仿宋_GB2312" w:eastAsia="仿宋_GB2312"/>
              </w:rPr>
              <w:t xml:space="preserve">  1、按《民法典》中的相关条款执行。</w:t>
            </w:r>
          </w:p>
          <w:p>
            <w:pPr>
              <w:pStyle w:val="null3"/>
            </w:pPr>
            <w:r>
              <w:rPr>
                <w:rFonts w:ascii="仿宋_GB2312" w:hAnsi="仿宋_GB2312" w:cs="仿宋_GB2312" w:eastAsia="仿宋_GB2312"/>
              </w:rPr>
              <w:t xml:space="preserve">  2、乙方未按协议要求提供服务或服务质量不能满足协议要求的，甲方应当将供应商违约的情况以及拟采取的措施以书面形 式报政府采购监管部门，根据政府采购监管部门的处理意见，甲方有权依据《民法典》有关条款及合同约定终止合同，并要求乙方承担违约责任。同时，政府采购监管部门有权依据《政府采购法》及相关法律法规对乙方的违法行为进行相应的处罚。</w:t>
            </w:r>
          </w:p>
          <w:p>
            <w:pPr>
              <w:pStyle w:val="null3"/>
            </w:pPr>
            <w:r>
              <w:rPr>
                <w:rFonts w:ascii="仿宋_GB2312" w:hAnsi="仿宋_GB2312" w:cs="仿宋_GB2312" w:eastAsia="仿宋_GB2312"/>
              </w:rPr>
              <w:t xml:space="preserve">  3、由不可抗力因素造成无法按照原计划提供服务，双方互不追究违约责任。</w:t>
            </w:r>
          </w:p>
          <w:p>
            <w:pPr>
              <w:pStyle w:val="null3"/>
            </w:pPr>
            <w:r>
              <w:rPr>
                <w:rFonts w:ascii="仿宋_GB2312" w:hAnsi="仿宋_GB2312" w:cs="仿宋_GB2312" w:eastAsia="仿宋_GB2312"/>
              </w:rPr>
              <w:t xml:space="preserve">  4、如有异议另行协商。</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供应商根据采购需求配备相关人员。</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供应商根据采购需求配备相关设施设备。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自合同签订之日起至项目结束</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按磋商文件、磋商响应文件等服务指标进行逐项验收，各项指标均应符合验收标准及要求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合同签订后，供应商开具等额的增值税普通发票，采购方收到符合要求的发票</w:t>
      </w:r>
      <w:r>
        <w:rPr>
          <w:rFonts w:ascii="仿宋_GB2312" w:hAnsi="仿宋_GB2312" w:cs="仿宋_GB2312" w:eastAsia="仿宋_GB2312"/>
        </w:rPr>
        <w:t xml:space="preserve"> ，达到付款条件起 </w:t>
      </w:r>
      <w:r>
        <w:rPr>
          <w:rFonts w:ascii="仿宋_GB2312" w:hAnsi="仿宋_GB2312" w:cs="仿宋_GB2312" w:eastAsia="仿宋_GB2312"/>
        </w:rPr>
        <w:t>25</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项目验收合格后，供应商开具等额的增值税普通发票，采购方收到符合要求的发票</w:t>
      </w:r>
      <w:r>
        <w:rPr>
          <w:rFonts w:ascii="仿宋_GB2312" w:hAnsi="仿宋_GB2312" w:cs="仿宋_GB2312" w:eastAsia="仿宋_GB2312"/>
        </w:rPr>
        <w:t xml:space="preserve"> ，达到付款条件起 </w:t>
      </w:r>
      <w:r>
        <w:rPr>
          <w:rFonts w:ascii="仿宋_GB2312" w:hAnsi="仿宋_GB2312" w:cs="仿宋_GB2312" w:eastAsia="仿宋_GB2312"/>
        </w:rPr>
        <w:t>25</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民法典》中的相关条款执行。2、乙方未按协议要求提供服务或服务质量不能满足协议要求的，甲方应当将供应商违约的情况以及拟采取的措施以书面形式报政府采购监管部门，根据政府采购监管部门的处理意见，甲 方有权依据《民法典》有关条款及合同约定终止合同，并要求乙方承担违约责任。同时，政府采购监管部门有权依据《政府采购法》及相关法律法规对乙方的违法行为进行相应的处罚。3、由不可抗力因素造成无法按照原计划提供服务，双方互不追究违约责任。4、如有异议另行协商。</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服务内容及服务邀请应答表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独立承担民事责任能力</w:t>
            </w:r>
          </w:p>
        </w:tc>
        <w:tc>
          <w:tcPr>
            <w:tcW w:type="dxa" w:w="3322"/>
          </w:tcPr>
          <w:p>
            <w:pPr>
              <w:pStyle w:val="null3"/>
            </w:pPr>
            <w:r>
              <w:rPr>
                <w:rFonts w:ascii="仿宋_GB2312" w:hAnsi="仿宋_GB2312" w:cs="仿宋_GB2312" w:eastAsia="仿宋_GB2312"/>
              </w:rPr>
              <w:t>具有独立承担民事责任能力的法人或其他组织，提供统一社会信用代码的营业执照或事业单位法人证书国家规定的相关证明；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w:t>
            </w:r>
          </w:p>
        </w:tc>
        <w:tc>
          <w:tcPr>
            <w:tcW w:type="dxa" w:w="3322"/>
          </w:tcPr>
          <w:p>
            <w:pPr>
              <w:pStyle w:val="null3"/>
            </w:pPr>
            <w:r>
              <w:rPr>
                <w:rFonts w:ascii="仿宋_GB2312" w:hAnsi="仿宋_GB2312" w:cs="仿宋_GB2312" w:eastAsia="仿宋_GB2312"/>
              </w:rPr>
              <w:t>提供2023或2024年度的财务审计报告（至少包括资产负债表和利润表，成立时间至提交投标文件截止时间不足一年的可提供成立后任意时段的资产负债表）；或其开标前半年内基本存款账户开户银行出具的资信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提供2024年5月至今已缴纳的任意1个月的纳税证明或完税证明，依法免税的单位应提供相关证明材料；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w:t>
            </w:r>
          </w:p>
        </w:tc>
        <w:tc>
          <w:tcPr>
            <w:tcW w:type="dxa" w:w="3322"/>
          </w:tcPr>
          <w:p>
            <w:pPr>
              <w:pStyle w:val="null3"/>
            </w:pPr>
            <w:r>
              <w:rPr>
                <w:rFonts w:ascii="仿宋_GB2312" w:hAnsi="仿宋_GB2312" w:cs="仿宋_GB2312" w:eastAsia="仿宋_GB2312"/>
              </w:rPr>
              <w:t>提供2024年5月至今已缴纳的任意1个月的社会保障资金缴存单据或社保机构开具的社会保险参保缴费情况证明，依法不需要缴纳社会保障资金的单位应提供相关证明材料；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身份证明</w:t>
            </w:r>
          </w:p>
        </w:tc>
        <w:tc>
          <w:tcPr>
            <w:tcW w:type="dxa" w:w="3322"/>
          </w:tcPr>
          <w:p>
            <w:pPr>
              <w:pStyle w:val="null3"/>
            </w:pPr>
            <w:r>
              <w:rPr>
                <w:rFonts w:ascii="仿宋_GB2312" w:hAnsi="仿宋_GB2312" w:cs="仿宋_GB2312" w:eastAsia="仿宋_GB2312"/>
              </w:rPr>
              <w:t>法定代表人授权书及被授权人身份证（法定代表人直接参加磋商的须提供其法定代表人身份证明），非法人单位参照执行;</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承诺</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本项目为专门面向中小企业采购（提供中小企业声明函或监狱企业的证明文件或残疾人福利性单位声明函）；</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没有重大违法记录的书面声明</w:t>
            </w:r>
          </w:p>
        </w:tc>
        <w:tc>
          <w:tcPr>
            <w:tcW w:type="dxa" w:w="3322"/>
          </w:tcPr>
          <w:p>
            <w:pPr>
              <w:pStyle w:val="null3"/>
            </w:pPr>
            <w:r>
              <w:rPr>
                <w:rFonts w:ascii="仿宋_GB2312" w:hAnsi="仿宋_GB2312" w:cs="仿宋_GB2312" w:eastAsia="仿宋_GB2312"/>
              </w:rPr>
              <w:t>参加政府采购活动前三年内，在经营活动中没有重大违法记录的书面声明（成立时间至提交响应文件截止时间不足三年的可提供成立至今的书面声明）;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信用中国</w:t>
            </w:r>
          </w:p>
        </w:tc>
        <w:tc>
          <w:tcPr>
            <w:tcW w:type="dxa" w:w="3322"/>
          </w:tcPr>
          <w:p>
            <w:pPr>
              <w:pStyle w:val="null3"/>
            </w:pPr>
            <w:r>
              <w:rPr>
                <w:rFonts w:ascii="仿宋_GB2312" w:hAnsi="仿宋_GB2312" w:cs="仿宋_GB2312" w:eastAsia="仿宋_GB2312"/>
              </w:rPr>
              <w:t>供应商不得为“信用中国(www.creditchina.gov.cn)”中列入失信被执行人和重大税收违法案件当事人名单的供应商，不得为“中国政府采购网(www.ccgp.gov.cn)” 政府采购严重违法失信行为记录名单中被财政部门禁止参加政府采购活动的供应商（采购代理机构查询时限为响应文件递交截止之日）；</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不接受联合体投标</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在磋商响应文件中按照要求响应</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在磋商响应文件中指定落款处，按文件要求盖章或签字</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磋商响应文件格式</w:t>
            </w:r>
          </w:p>
        </w:tc>
        <w:tc>
          <w:tcPr>
            <w:tcW w:type="dxa" w:w="3322"/>
          </w:tcPr>
          <w:p>
            <w:pPr>
              <w:pStyle w:val="null3"/>
            </w:pPr>
            <w:r>
              <w:rPr>
                <w:rFonts w:ascii="仿宋_GB2312" w:hAnsi="仿宋_GB2312" w:cs="仿宋_GB2312" w:eastAsia="仿宋_GB2312"/>
              </w:rPr>
              <w:t>应符合“磋商响应文件格式”要求</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响应（投标）内容</w:t>
            </w:r>
          </w:p>
        </w:tc>
        <w:tc>
          <w:tcPr>
            <w:tcW w:type="dxa" w:w="3322"/>
          </w:tcPr>
          <w:p>
            <w:pPr>
              <w:pStyle w:val="null3"/>
            </w:pPr>
            <w:r>
              <w:rPr>
                <w:rFonts w:ascii="仿宋_GB2312" w:hAnsi="仿宋_GB2312" w:cs="仿宋_GB2312" w:eastAsia="仿宋_GB2312"/>
              </w:rPr>
              <w:t>应符合“供应商须知”规定的正本、副本、电子文件数量</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按磋商文件要求报价，不得提交选择性报价，未超过磋商最高限价</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应满足磋商文件中要求的服务期</w:t>
            </w:r>
          </w:p>
        </w:tc>
        <w:tc>
          <w:tcPr>
            <w:tcW w:type="dxa" w:w="1661"/>
          </w:tcPr>
          <w:p>
            <w:pPr>
              <w:pStyle w:val="null3"/>
            </w:pPr>
            <w:r>
              <w:rPr>
                <w:rFonts w:ascii="仿宋_GB2312" w:hAnsi="仿宋_GB2312" w:cs="仿宋_GB2312" w:eastAsia="仿宋_GB2312"/>
              </w:rPr>
              <w:t>响应文件封面</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项目理解</w:t>
            </w:r>
          </w:p>
        </w:tc>
        <w:tc>
          <w:tcPr>
            <w:tcW w:type="dxa" w:w="2492"/>
          </w:tcPr>
          <w:p>
            <w:pPr>
              <w:pStyle w:val="null3"/>
            </w:pPr>
            <w:r>
              <w:rPr>
                <w:rFonts w:ascii="仿宋_GB2312" w:hAnsi="仿宋_GB2312" w:cs="仿宋_GB2312" w:eastAsia="仿宋_GB2312"/>
              </w:rPr>
              <w:t>对本项目工作内容的认识理解程度（包括整体项目需求、每项服务需求等）： ①对本项目理解深刻，分析正确、合理，计10.1-15分； ②对本项目基本理解，分析基本正确、合理，计5.1-10分； ③对本项目理解一般，重点、难点分析不全面，计1.1-5分； ④未提供相关内容的不得分。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活动策划方案</w:t>
            </w:r>
          </w:p>
        </w:tc>
        <w:tc>
          <w:tcPr>
            <w:tcW w:type="dxa" w:w="2492"/>
          </w:tcPr>
          <w:p>
            <w:pPr>
              <w:pStyle w:val="null3"/>
            </w:pPr>
            <w:r>
              <w:rPr>
                <w:rFonts w:ascii="仿宋_GB2312" w:hAnsi="仿宋_GB2312" w:cs="仿宋_GB2312" w:eastAsia="仿宋_GB2312"/>
              </w:rPr>
              <w:t>整体活动组织策划、制定活动方案、商户招展、活动现场组织执行和管理等工作。活动场地搭建、氛围营造。（活动场地协调及租赁等工作，场地主舞台搭建、宣导装饰、美陈及氛围营造、设备租赁、活动宣传、活动保障）会场布置氛围贴合活动主题，材料设备配备齐全。 ①各项方案详细、内容全面、安排合理，计11.1-20分； ②总体方案有1项缺项，计7.1-11分； ③总体方案有2项缺项，计3.1-7分； ④总体方案3项或以上缺漏，内容简略的，计1.1-3分； ⑤未提供本项不计分。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场地搭建</w:t>
            </w:r>
          </w:p>
        </w:tc>
        <w:tc>
          <w:tcPr>
            <w:tcW w:type="dxa" w:w="2492"/>
          </w:tcPr>
          <w:p>
            <w:pPr>
              <w:pStyle w:val="null3"/>
            </w:pPr>
            <w:r>
              <w:rPr>
                <w:rFonts w:ascii="仿宋_GB2312" w:hAnsi="仿宋_GB2312" w:cs="仿宋_GB2312" w:eastAsia="仿宋_GB2312"/>
              </w:rPr>
              <w:t>根据完成本项目须提供的相关物品，其场地搭建方案的规范性、合理性、科学性和可行性、效果图设计合理，采用的布展理念适用，贴合项目需求，进行比较和评价①场地搭建方案完整详细、布局合理、搭建方案方便可行，安全可靠性高，计10.1-15分； ②场地搭建方案有缺项，内容完整度一般、安全可行计5.1-10分； ③设计搭建方案有缺项，内容完整度较差、不可行计1.1-5分；④未提供设计方案不得分。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项目团队</w:t>
            </w:r>
          </w:p>
        </w:tc>
        <w:tc>
          <w:tcPr>
            <w:tcW w:type="dxa" w:w="2492"/>
          </w:tcPr>
          <w:p>
            <w:pPr>
              <w:pStyle w:val="null3"/>
            </w:pPr>
            <w:r>
              <w:rPr>
                <w:rFonts w:ascii="仿宋_GB2312" w:hAnsi="仿宋_GB2312" w:cs="仿宋_GB2312" w:eastAsia="仿宋_GB2312"/>
              </w:rPr>
              <w:t>针对项目执行团队人员配置情况进行评分：具有专业的执行团队，安排专人现场协调对接落实活动各项具体事宜（包括但不限于涵盖主持、礼仪、安保、保洁等人员配置），提供人员证明材料（不限于毕业证或学历证等相关证明材料复印件）。 ①团队架构完善，人员安排合理，相关证明文件齐全，完全符合项目要求，计7.1-10分； ②团队人员配置不明确、搭配不合理，相关证明文件有欠缺、不齐全，计3.1-7分； ③方案内容、人员配备严重欠缺，无法满足项目需求得1.1-3分； ④未提供不得分。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质量、进度保证方案</w:t>
            </w:r>
          </w:p>
        </w:tc>
        <w:tc>
          <w:tcPr>
            <w:tcW w:type="dxa" w:w="2492"/>
          </w:tcPr>
          <w:p>
            <w:pPr>
              <w:pStyle w:val="null3"/>
            </w:pPr>
            <w:r>
              <w:rPr>
                <w:rFonts w:ascii="仿宋_GB2312" w:hAnsi="仿宋_GB2312" w:cs="仿宋_GB2312" w:eastAsia="仿宋_GB2312"/>
              </w:rPr>
              <w:t>提供针对本项目的服务质量、进度保证方案（包括：健全的质量控制体系、针对本项目的服务质量、进度把控方案、质量保证措施，并有质量进度目标无法实现时的认罚承诺等，包括但不限于活动现场治安、消防、观众进退场等）。 ①方案措施详尽，完全满足采购人需求，能够保证服务质量，及时协调解决各类问题，计7.1-10分；②方案措施较全，基本满足采购人需求，保证服务质量，基本能协调解决各类问题，计3.1-7分； ③方案措施简略，部分满足采购人需求，保证服务质量，及协调解决各类问题的能力不强，计1.1-3 分； ④未提供相关内容的不得分。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安全应急预案</w:t>
            </w:r>
          </w:p>
        </w:tc>
        <w:tc>
          <w:tcPr>
            <w:tcW w:type="dxa" w:w="2492"/>
          </w:tcPr>
          <w:p>
            <w:pPr>
              <w:pStyle w:val="null3"/>
            </w:pPr>
            <w:r>
              <w:rPr>
                <w:rFonts w:ascii="仿宋_GB2312" w:hAnsi="仿宋_GB2312" w:cs="仿宋_GB2312" w:eastAsia="仿宋_GB2312"/>
              </w:rPr>
              <w:t>制定合理、可行的各种突发情况（包含现场秩序调节、停电、断网、所提供的设备及材料出现质量问题等）的安全应急预案。 ①应急预案内容完善，应对措施全面、可行性强、考虑充分，计5.1-10分； ②应急预案内容基本完善，应对措施有一定可行性，考虑不足，计1.1-5分； ③未提供的不计分。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针对本项目有明确的服务承诺，严格按照相关技术规范和标准提供服务。根据服务承诺明确、合理程度得1-5分。未提供不得分。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提供投标人2022年01月01日至今类似项目业绩（大型活动、会议、会展的设计搭建和服务保障工作项目），每份计1分，计满5分为止。业绩证明材料以合同复印件或中标通知书为准。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满足磋商文件要求且最后报价最低的供应商的价格为磋商基准价得10分，其他各供应商的最后磋商报价得分按下列公式计算：（磋商基准价/最后磋商报价）×10%×100。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分项报价表</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详见附件：分项报价表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详见附件：服务合同.docx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