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版本号：ZD0925-007ZXA(二次)20250804001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文物测试分析(二次)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ZD0925-007ZXA(二次)</w:t>
      </w:r>
      <w:r>
        <w:br/>
      </w:r>
      <w:r>
        <w:br/>
      </w:r>
      <w:r>
        <w:br/>
      </w:r>
    </w:p>
    <w:p>
      <w:pPr>
        <w:pStyle w:val="null3"/>
        <w:jc w:val="center"/>
        <w:outlineLvl w:val="2"/>
      </w:pPr>
      <w:r>
        <w:rPr>
          <w:rFonts w:ascii="仿宋_GB2312" w:hAnsi="仿宋_GB2312" w:cs="仿宋_GB2312" w:eastAsia="仿宋_GB2312"/>
          <w:sz w:val="28"/>
          <w:b/>
        </w:rPr>
        <w:t>西安市文物保护考古研究院</w:t>
      </w:r>
    </w:p>
    <w:p>
      <w:pPr>
        <w:pStyle w:val="null3"/>
        <w:jc w:val="center"/>
        <w:outlineLvl w:val="2"/>
      </w:pPr>
      <w:r>
        <w:rPr>
          <w:rFonts w:ascii="仿宋_GB2312" w:hAnsi="仿宋_GB2312" w:cs="仿宋_GB2312" w:eastAsia="仿宋_GB2312"/>
          <w:sz w:val="28"/>
          <w:b/>
        </w:rPr>
        <w:t>正大方略工程咨询有限公司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正大方略工程咨询有限公司</w:t>
      </w:r>
      <w:r>
        <w:rPr>
          <w:rFonts w:ascii="仿宋_GB2312" w:hAnsi="仿宋_GB2312" w:cs="仿宋_GB2312" w:eastAsia="仿宋_GB2312"/>
        </w:rPr>
        <w:t>（以下简称“代理机构”）受</w:t>
      </w:r>
      <w:r>
        <w:rPr>
          <w:rFonts w:ascii="仿宋_GB2312" w:hAnsi="仿宋_GB2312" w:cs="仿宋_GB2312" w:eastAsia="仿宋_GB2312"/>
        </w:rPr>
        <w:t>西安市文物保护考古研究院</w:t>
      </w:r>
      <w:r>
        <w:rPr>
          <w:rFonts w:ascii="仿宋_GB2312" w:hAnsi="仿宋_GB2312" w:cs="仿宋_GB2312" w:eastAsia="仿宋_GB2312"/>
        </w:rPr>
        <w:t>委托，拟对</w:t>
      </w:r>
      <w:r>
        <w:rPr>
          <w:rFonts w:ascii="仿宋_GB2312" w:hAnsi="仿宋_GB2312" w:cs="仿宋_GB2312" w:eastAsia="仿宋_GB2312"/>
        </w:rPr>
        <w:t>文物测试分析(二次)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ZD0925-007ZXA(二次)</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文物测试分析(二次)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本项目文物测试分析包含人骨、动物、植物相关测试分析以及DNA谱系测试分析。</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西安市文物保护考古研究院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西安市碑林区友谊西路68号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029-85258795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正大方略工程咨询有限公司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西安市雁塔区南二环东段22号（凯森盛世1号）A座26楼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王蕾、黑华伟、薛瑞莲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029-82296986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采购包1：340,000.00元</w:t>
            </w:r>
          </w:p>
          <w:p>
            <w:pPr>
              <w:pStyle w:val="null3"/>
            </w:pPr>
            <w:r>
              <w:rPr>
                <w:rFonts w:ascii="仿宋_GB2312" w:hAnsi="仿宋_GB2312" w:cs="仿宋_GB2312" w:eastAsia="仿宋_GB2312"/>
              </w:rPr>
              <w:t>采购包2：100,000.00元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依据《招标代理服务收费管理暂行办法的通知》（计价格〔2002〕1980号）和《关于招标代理服务收费有关问题的通知》（发改办价格〔2003〕857号）文件规定按标准收取。具体收费金额将在中标（成交）结果公告中公布。开户名称：正大方略工程咨询有限公司 开户行名称：西安银行东二环南段支行 账号：209011580000076430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西安市文物保护考古研究院</w:t>
      </w:r>
      <w:r>
        <w:rPr>
          <w:rFonts w:ascii="仿宋_GB2312" w:hAnsi="仿宋_GB2312" w:cs="仿宋_GB2312" w:eastAsia="仿宋_GB2312"/>
        </w:rPr>
        <w:t>和</w:t>
      </w:r>
      <w:r>
        <w:rPr>
          <w:rFonts w:ascii="仿宋_GB2312" w:hAnsi="仿宋_GB2312" w:cs="仿宋_GB2312" w:eastAsia="仿宋_GB2312"/>
        </w:rPr>
        <w:t>正大方略工程咨询有限公司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西安市文物保护考古研究院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正大方略工程咨询有限公司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西安市文物保护考古研究院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正大方略工程咨询有限公司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联系人：王蕾、黑华伟、薛瑞莲</w:t>
      </w:r>
    </w:p>
    <w:p>
      <w:pPr>
        <w:pStyle w:val="null3"/>
      </w:pPr>
      <w:r>
        <w:rPr>
          <w:rFonts w:ascii="仿宋_GB2312" w:hAnsi="仿宋_GB2312" w:cs="仿宋_GB2312" w:eastAsia="仿宋_GB2312"/>
        </w:rPr>
        <w:t>联系电话：029-82296986</w:t>
      </w:r>
    </w:p>
    <w:p>
      <w:pPr>
        <w:pStyle w:val="null3"/>
      </w:pPr>
      <w:r>
        <w:rPr>
          <w:rFonts w:ascii="仿宋_GB2312" w:hAnsi="仿宋_GB2312" w:cs="仿宋_GB2312" w:eastAsia="仿宋_GB2312"/>
        </w:rPr>
        <w:t>地址：西安市雁塔区南二环东段22号（凯森盛世1号）A座26楼招标九部</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shd w:fill="FFFFFF" w:val="clear"/>
        </w:rPr>
        <w:t>本项目文物测试分析包含</w:t>
      </w:r>
      <w:r>
        <w:rPr>
          <w:rFonts w:ascii="仿宋_GB2312" w:hAnsi="仿宋_GB2312" w:cs="仿宋_GB2312" w:eastAsia="仿宋_GB2312"/>
          <w:sz w:val="21"/>
        </w:rPr>
        <w:t>人骨、动物、植物相关测试分析</w:t>
      </w:r>
      <w:r>
        <w:rPr>
          <w:rFonts w:ascii="仿宋_GB2312" w:hAnsi="仿宋_GB2312" w:cs="仿宋_GB2312" w:eastAsia="仿宋_GB2312"/>
          <w:sz w:val="21"/>
        </w:rPr>
        <w:t>以及</w:t>
      </w:r>
      <w:r>
        <w:rPr>
          <w:rFonts w:ascii="仿宋_GB2312" w:hAnsi="仿宋_GB2312" w:cs="仿宋_GB2312" w:eastAsia="仿宋_GB2312"/>
          <w:sz w:val="21"/>
        </w:rPr>
        <w:t>DNA谱系测试分析</w:t>
      </w:r>
      <w:r>
        <w:rPr>
          <w:rFonts w:ascii="仿宋_GB2312" w:hAnsi="仿宋_GB2312" w:cs="仿宋_GB2312" w:eastAsia="仿宋_GB2312"/>
          <w:sz w:val="21"/>
          <w:shd w:fill="FFFFFF" w:val="clear"/>
        </w:rPr>
        <w:t>。</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340,000.00</w:t>
      </w:r>
    </w:p>
    <w:p>
      <w:pPr>
        <w:pStyle w:val="null3"/>
      </w:pPr>
      <w:r>
        <w:rPr>
          <w:rFonts w:ascii="仿宋_GB2312" w:hAnsi="仿宋_GB2312" w:cs="仿宋_GB2312" w:eastAsia="仿宋_GB2312"/>
        </w:rPr>
        <w:t>采购包最高限价（元）: 340,000.00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人骨、动物、植物相关测试分析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DNA谱系测试分析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标的名称：人骨、动物、植物相关测试分析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1"/>
                <w:b/>
              </w:rPr>
              <w:t>北城村</w:t>
            </w:r>
            <w:r>
              <w:rPr>
                <w:rFonts w:ascii="仿宋_GB2312" w:hAnsi="仿宋_GB2312" w:cs="仿宋_GB2312" w:eastAsia="仿宋_GB2312"/>
                <w:sz w:val="21"/>
                <w:b/>
              </w:rPr>
              <w:t>墓地出土人骨检测分析项目与具体参数</w:t>
            </w:r>
          </w:p>
          <w:p>
            <w:pPr>
              <w:pStyle w:val="null3"/>
              <w:ind w:firstLine="422"/>
              <w:jc w:val="both"/>
            </w:pPr>
            <w:r>
              <w:rPr>
                <w:rFonts w:ascii="仿宋_GB2312" w:hAnsi="仿宋_GB2312" w:cs="仿宋_GB2312" w:eastAsia="仿宋_GB2312"/>
                <w:sz w:val="21"/>
                <w:b/>
              </w:rPr>
              <w:t>一、项目背景</w:t>
            </w:r>
          </w:p>
          <w:p>
            <w:pPr>
              <w:pStyle w:val="null3"/>
              <w:ind w:firstLine="420"/>
              <w:jc w:val="both"/>
            </w:pPr>
            <w:r>
              <w:rPr>
                <w:rFonts w:ascii="仿宋_GB2312" w:hAnsi="仿宋_GB2312" w:cs="仿宋_GB2312" w:eastAsia="仿宋_GB2312"/>
                <w:sz w:val="21"/>
              </w:rPr>
              <w:t>北城村</w:t>
            </w:r>
            <w:r>
              <w:rPr>
                <w:rFonts w:ascii="仿宋_GB2312" w:hAnsi="仿宋_GB2312" w:cs="仿宋_GB2312" w:eastAsia="仿宋_GB2312"/>
                <w:sz w:val="21"/>
              </w:rPr>
              <w:t>墓地</w:t>
            </w:r>
            <w:r>
              <w:rPr>
                <w:rFonts w:ascii="仿宋_GB2312" w:hAnsi="仿宋_GB2312" w:cs="仿宋_GB2312" w:eastAsia="仿宋_GB2312"/>
                <w:sz w:val="21"/>
              </w:rPr>
              <w:t>为</w:t>
            </w:r>
            <w:r>
              <w:rPr>
                <w:rFonts w:ascii="仿宋_GB2312" w:hAnsi="仿宋_GB2312" w:cs="仿宋_GB2312" w:eastAsia="仿宋_GB2312"/>
                <w:sz w:val="21"/>
              </w:rPr>
              <w:t>2023年陕西六大考古新发现。该</w:t>
            </w:r>
            <w:r>
              <w:rPr>
                <w:rFonts w:ascii="仿宋_GB2312" w:hAnsi="仿宋_GB2312" w:cs="仿宋_GB2312" w:eastAsia="仿宋_GB2312"/>
                <w:sz w:val="21"/>
              </w:rPr>
              <w:t>墓地</w:t>
            </w:r>
            <w:r>
              <w:rPr>
                <w:rFonts w:ascii="仿宋_GB2312" w:hAnsi="仿宋_GB2312" w:cs="仿宋_GB2312" w:eastAsia="仿宋_GB2312"/>
                <w:sz w:val="21"/>
              </w:rPr>
              <w:t>是一处布局规整、延续时间长的墓葬群，</w:t>
            </w:r>
            <w:r>
              <w:rPr>
                <w:rFonts w:ascii="仿宋_GB2312" w:hAnsi="仿宋_GB2312" w:cs="仿宋_GB2312" w:eastAsia="仿宋_GB2312"/>
                <w:sz w:val="21"/>
              </w:rPr>
              <w:t>出土器物相对少、人骨材料较丰富，</w:t>
            </w:r>
            <w:r>
              <w:rPr>
                <w:rFonts w:ascii="仿宋_GB2312" w:hAnsi="仿宋_GB2312" w:cs="仿宋_GB2312" w:eastAsia="仿宋_GB2312"/>
                <w:sz w:val="21"/>
              </w:rPr>
              <w:t>正在开展考古发掘</w:t>
            </w:r>
            <w:r>
              <w:rPr>
                <w:rFonts w:ascii="仿宋_GB2312" w:hAnsi="仿宋_GB2312" w:cs="仿宋_GB2312" w:eastAsia="仿宋_GB2312"/>
                <w:sz w:val="21"/>
              </w:rPr>
              <w:t>与资料整理、</w:t>
            </w:r>
            <w:r>
              <w:rPr>
                <w:rFonts w:ascii="仿宋_GB2312" w:hAnsi="仿宋_GB2312" w:cs="仿宋_GB2312" w:eastAsia="仿宋_GB2312"/>
                <w:sz w:val="21"/>
              </w:rPr>
              <w:t>研究工作。</w:t>
            </w:r>
            <w:r>
              <w:rPr>
                <w:rFonts w:ascii="仿宋_GB2312" w:hAnsi="仿宋_GB2312" w:cs="仿宋_GB2312" w:eastAsia="仿宋_GB2312"/>
                <w:sz w:val="21"/>
              </w:rPr>
              <w:t>目前因报告整理进度较快、人员力量缺乏，部分墓葬绝对年代较难确定，一些科技分析仪器设备缺乏，对比数据库尚不充分，</w:t>
            </w:r>
            <w:r>
              <w:rPr>
                <w:rFonts w:ascii="仿宋_GB2312" w:hAnsi="仿宋_GB2312" w:cs="仿宋_GB2312" w:eastAsia="仿宋_GB2312"/>
                <w:sz w:val="21"/>
              </w:rPr>
              <w:t>为确认墓葬年代</w:t>
            </w:r>
            <w:r>
              <w:rPr>
                <w:rFonts w:ascii="仿宋_GB2312" w:hAnsi="仿宋_GB2312" w:cs="仿宋_GB2312" w:eastAsia="仿宋_GB2312"/>
                <w:sz w:val="21"/>
              </w:rPr>
              <w:t>、</w:t>
            </w:r>
            <w:r>
              <w:rPr>
                <w:rFonts w:ascii="仿宋_GB2312" w:hAnsi="仿宋_GB2312" w:cs="仿宋_GB2312" w:eastAsia="仿宋_GB2312"/>
                <w:sz w:val="21"/>
              </w:rPr>
              <w:t>居民种族特征</w:t>
            </w:r>
            <w:r>
              <w:rPr>
                <w:rFonts w:ascii="仿宋_GB2312" w:hAnsi="仿宋_GB2312" w:cs="仿宋_GB2312" w:eastAsia="仿宋_GB2312"/>
                <w:sz w:val="21"/>
              </w:rPr>
              <w:t>、</w:t>
            </w:r>
            <w:r>
              <w:rPr>
                <w:rFonts w:ascii="仿宋_GB2312" w:hAnsi="仿宋_GB2312" w:cs="仿宋_GB2312" w:eastAsia="仿宋_GB2312"/>
                <w:sz w:val="21"/>
              </w:rPr>
              <w:t>人群源流迁徙</w:t>
            </w:r>
            <w:r>
              <w:rPr>
                <w:rFonts w:ascii="仿宋_GB2312" w:hAnsi="仿宋_GB2312" w:cs="仿宋_GB2312" w:eastAsia="仿宋_GB2312"/>
                <w:sz w:val="21"/>
              </w:rPr>
              <w:t>、</w:t>
            </w:r>
            <w:r>
              <w:rPr>
                <w:rFonts w:ascii="仿宋_GB2312" w:hAnsi="仿宋_GB2312" w:cs="仿宋_GB2312" w:eastAsia="仿宋_GB2312"/>
                <w:sz w:val="21"/>
              </w:rPr>
              <w:t>饮食结构与健康</w:t>
            </w:r>
            <w:r>
              <w:rPr>
                <w:rFonts w:ascii="仿宋_GB2312" w:hAnsi="仿宋_GB2312" w:cs="仿宋_GB2312" w:eastAsia="仿宋_GB2312"/>
                <w:sz w:val="21"/>
              </w:rPr>
              <w:t>、</w:t>
            </w:r>
            <w:r>
              <w:rPr>
                <w:rFonts w:ascii="仿宋_GB2312" w:hAnsi="仿宋_GB2312" w:cs="仿宋_GB2312" w:eastAsia="仿宋_GB2312"/>
                <w:sz w:val="21"/>
              </w:rPr>
              <w:t>群体间社会结构，需要对墓葬出土人骨材料开展</w:t>
            </w:r>
            <w:r>
              <w:rPr>
                <w:rFonts w:ascii="仿宋_GB2312" w:hAnsi="仿宋_GB2312" w:cs="仿宋_GB2312" w:eastAsia="仿宋_GB2312"/>
                <w:sz w:val="21"/>
              </w:rPr>
              <w:t>科技</w:t>
            </w:r>
            <w:r>
              <w:rPr>
                <w:rFonts w:ascii="仿宋_GB2312" w:hAnsi="仿宋_GB2312" w:cs="仿宋_GB2312" w:eastAsia="仿宋_GB2312"/>
                <w:sz w:val="21"/>
              </w:rPr>
              <w:t>检测分析</w:t>
            </w:r>
            <w:r>
              <w:rPr>
                <w:rFonts w:ascii="仿宋_GB2312" w:hAnsi="仿宋_GB2312" w:cs="仿宋_GB2312" w:eastAsia="仿宋_GB2312"/>
                <w:sz w:val="21"/>
              </w:rPr>
              <w:t>，</w:t>
            </w:r>
            <w:r>
              <w:rPr>
                <w:rFonts w:ascii="仿宋_GB2312" w:hAnsi="仿宋_GB2312" w:cs="仿宋_GB2312" w:eastAsia="仿宋_GB2312"/>
                <w:sz w:val="21"/>
              </w:rPr>
              <w:t>以期揭示人骨蕴含的先民自身与社会历史文化等信息。</w:t>
            </w:r>
          </w:p>
          <w:p>
            <w:pPr>
              <w:pStyle w:val="null3"/>
              <w:ind w:firstLine="422"/>
              <w:jc w:val="both"/>
            </w:pPr>
            <w:r>
              <w:rPr>
                <w:rFonts w:ascii="仿宋_GB2312" w:hAnsi="仿宋_GB2312" w:cs="仿宋_GB2312" w:eastAsia="仿宋_GB2312"/>
                <w:sz w:val="21"/>
                <w:b/>
              </w:rPr>
              <w:t>二、研究目标</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.营养健康与生业模式：通过</w:t>
            </w:r>
            <w:r>
              <w:rPr>
                <w:rFonts w:ascii="仿宋_GB2312" w:hAnsi="仿宋_GB2312" w:cs="仿宋_GB2312" w:eastAsia="仿宋_GB2312"/>
                <w:sz w:val="21"/>
              </w:rPr>
              <w:t>肢骨形态、</w:t>
            </w:r>
            <w:r>
              <w:rPr>
                <w:rFonts w:ascii="仿宋_GB2312" w:hAnsi="仿宋_GB2312" w:cs="仿宋_GB2312" w:eastAsia="仿宋_GB2312"/>
                <w:sz w:val="21"/>
              </w:rPr>
              <w:t>古病理分析及同位素检测，研究古代居民的</w:t>
            </w:r>
            <w:r>
              <w:rPr>
                <w:rFonts w:ascii="仿宋_GB2312" w:hAnsi="仿宋_GB2312" w:cs="仿宋_GB2312" w:eastAsia="仿宋_GB2312"/>
                <w:sz w:val="21"/>
              </w:rPr>
              <w:t>生长发育、</w:t>
            </w:r>
            <w:r>
              <w:rPr>
                <w:rFonts w:ascii="仿宋_GB2312" w:hAnsi="仿宋_GB2312" w:cs="仿宋_GB2312" w:eastAsia="仿宋_GB2312"/>
                <w:sz w:val="21"/>
              </w:rPr>
              <w:t>健康状况与生业模式。</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.饮食结构：通过牙齿磨耗、龋齿率及同位素分析，探讨古代居民的饮食结构。</w:t>
            </w:r>
          </w:p>
          <w:p>
            <w:pPr>
              <w:pStyle w:val="null3"/>
              <w:ind w:firstLine="422"/>
              <w:jc w:val="both"/>
            </w:pPr>
            <w:r>
              <w:rPr>
                <w:rFonts w:ascii="仿宋_GB2312" w:hAnsi="仿宋_GB2312" w:cs="仿宋_GB2312" w:eastAsia="仿宋_GB2312"/>
                <w:sz w:val="21"/>
                <w:b/>
              </w:rPr>
              <w:t>三、</w:t>
            </w:r>
            <w:r>
              <w:rPr>
                <w:rFonts w:ascii="仿宋_GB2312" w:hAnsi="仿宋_GB2312" w:cs="仿宋_GB2312" w:eastAsia="仿宋_GB2312"/>
                <w:sz w:val="21"/>
                <w:b/>
              </w:rPr>
              <w:t>测试分析项目、参数、样本量相关要求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1）参数指标</w:t>
            </w:r>
          </w:p>
          <w:tbl>
            <w:tblPr>
              <w:tblInd w:type="dxa" w:w="120"/>
              <w:tblBorders>
                <w:top w:val="none" w:color="000000" w:sz="4"/>
                <w:left w:val="none" w:color="000000" w:sz="4"/>
                <w:bottom w:val="none" w:color="000000" w:sz="4"/>
                <w:right w:val="none" w:color="000000" w:sz="4"/>
                <w:insideH w:val="none"/>
                <w:insideV w:val="none"/>
              </w:tblBorders>
            </w:tblPr>
            <w:tblGrid>
              <w:gridCol w:w="281"/>
              <w:gridCol w:w="411"/>
              <w:gridCol w:w="1853"/>
            </w:tblGrid>
            <w:tr>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测试项目</w:t>
                  </w:r>
                </w:p>
              </w:tc>
              <w:tc>
                <w:tcPr>
                  <w:tcW w:type="dxa" w:w="18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参数</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病理、创伤分析</w:t>
                  </w:r>
                </w:p>
              </w:tc>
              <w:tc>
                <w:tcPr>
                  <w:tcW w:type="dxa" w:w="1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rPr>
                    <w:t>依据古病理相关研究论著方法与标准，辅助使用人体测量仪器、手持显微镜、立体显微镜、超景深显微镜等设备，必要时使用相关医疗或工业设备，对龋齿、牙釉质发育不全、骨关节病、结核病、创伤、骨骼正常变异等各类骨骼上可见的病理进行观察与诊断，对比其他遗址人群、近现代人群数据以讨论北城村墓地古代居民的饮食结构、生存压力、职业行为、生业模式、对外关系。</w:t>
                  </w:r>
                </w:p>
                <w:p>
                  <w:pPr>
                    <w:pStyle w:val="null3"/>
                    <w:ind w:firstLine="420"/>
                    <w:jc w:val="left"/>
                  </w:pPr>
                  <w:r>
                    <w:rPr>
                      <w:rFonts w:ascii="仿宋_GB2312" w:hAnsi="仿宋_GB2312" w:cs="仿宋_GB2312" w:eastAsia="仿宋_GB2312"/>
                      <w:sz w:val="21"/>
                    </w:rPr>
                    <w:t>具体病理观察项目参考如下：</w:t>
                  </w:r>
                </w:p>
                <w:tbl>
                  <w:tblPr>
                    <w:tblBorders>
                      <w:top w:val="none" w:color="000000" w:sz="4"/>
                      <w:left w:val="none" w:color="000000" w:sz="4"/>
                      <w:bottom w:val="none" w:color="000000" w:sz="4"/>
                      <w:right w:val="none" w:color="000000" w:sz="4"/>
                      <w:insideH w:val="none"/>
                      <w:insideV w:val="none"/>
                    </w:tblBorders>
                  </w:tblPr>
                  <w:tblGrid>
                    <w:gridCol w:w="409"/>
                    <w:gridCol w:w="1224"/>
                  </w:tblGrid>
                  <w:tr>
                    <w:tc>
                      <w:tcPr>
                        <w:tcW w:type="dxa" w:w="163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先天疾病</w:t>
                        </w:r>
                      </w:p>
                    </w:tc>
                  </w:tr>
                  <w:tr>
                    <w:tc>
                      <w:tcPr>
                        <w:tcW w:type="dxa" w:w="4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中轴骨病变</w:t>
                        </w:r>
                      </w:p>
                    </w:tc>
                    <w:tc>
                      <w:tcPr>
                        <w:tcW w:type="dxa" w:w="1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无脑畸形和小头畸形</w:t>
                        </w:r>
                      </w:p>
                    </w:tc>
                  </w:tr>
                  <w:tr>
                    <w:tc>
                      <w:tcPr>
                        <w:tcW w:type="dxa" w:w="409"/>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腭裂</w:t>
                        </w:r>
                      </w:p>
                    </w:tc>
                  </w:tr>
                  <w:tr>
                    <w:tc>
                      <w:tcPr>
                        <w:tcW w:type="dxa" w:w="409"/>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脑积水</w:t>
                        </w:r>
                      </w:p>
                    </w:tc>
                  </w:tr>
                  <w:tr>
                    <w:tc>
                      <w:tcPr>
                        <w:tcW w:type="dxa" w:w="409"/>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颅骨骨缝发育的畸形</w:t>
                        </w:r>
                      </w:p>
                    </w:tc>
                  </w:tr>
                  <w:tr>
                    <w:tc>
                      <w:tcPr>
                        <w:tcW w:type="dxa" w:w="409"/>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脊柱裂</w:t>
                        </w:r>
                      </w:p>
                    </w:tc>
                  </w:tr>
                  <w:tr>
                    <w:tc>
                      <w:tcPr>
                        <w:tcW w:type="dxa" w:w="409"/>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骶椎腰化和腰椎骶化</w:t>
                        </w:r>
                      </w:p>
                    </w:tc>
                  </w:tr>
                  <w:tr>
                    <w:tc>
                      <w:tcPr>
                        <w:tcW w:type="dxa" w:w="409"/>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椎骨脱离</w:t>
                        </w:r>
                      </w:p>
                    </w:tc>
                  </w:tr>
                  <w:tr>
                    <w:tc>
                      <w:tcPr>
                        <w:tcW w:type="dxa" w:w="4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四肢骨病变</w:t>
                        </w:r>
                      </w:p>
                    </w:tc>
                    <w:tc>
                      <w:tcPr>
                        <w:tcW w:type="dxa" w:w="1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先天性髋关节脱位</w:t>
                        </w:r>
                      </w:p>
                    </w:tc>
                  </w:tr>
                  <w:tr>
                    <w:tc>
                      <w:tcPr>
                        <w:tcW w:type="dxa" w:w="409"/>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先天性足畸形</w:t>
                        </w:r>
                      </w:p>
                    </w:tc>
                  </w:tr>
                  <w:tr>
                    <w:tc>
                      <w:tcPr>
                        <w:tcW w:type="dxa" w:w="4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中轴骨和四肢骨胳受累的病变</w:t>
                        </w:r>
                      </w:p>
                    </w:tc>
                    <w:tc>
                      <w:tcPr>
                        <w:tcW w:type="dxa" w:w="1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软骨发育不全</w:t>
                        </w:r>
                      </w:p>
                    </w:tc>
                  </w:tr>
                  <w:tr>
                    <w:tc>
                      <w:tcPr>
                        <w:tcW w:type="dxa" w:w="409"/>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骨发生不全</w:t>
                        </w:r>
                      </w:p>
                    </w:tc>
                  </w:tr>
                  <w:tr>
                    <w:tc>
                      <w:tcPr>
                        <w:tcW w:type="dxa" w:w="409"/>
                        <w:vMerge/>
                        <w:tcBorders>
                          <w:top w:val="none" w:color="000000" w:sz="4"/>
                          <w:left w:val="single" w:color="000000" w:sz="4"/>
                          <w:bottom w:val="single" w:color="000000" w:sz="4"/>
                          <w:right w:val="single" w:color="000000" w:sz="4"/>
                        </w:tcBorders>
                      </w:tcPr>
                      <w:p/>
                    </w:tc>
                    <w:tc>
                      <w:tcPr>
                        <w:tcW w:type="dxa" w:w="1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唐氏综合征</w:t>
                        </w:r>
                      </w:p>
                    </w:tc>
                  </w:tr>
                </w:tbl>
                <w:tbl>
                  <w:tblPr>
                    <w:tblBorders>
                      <w:top w:val="none" w:color="000000" w:sz="4"/>
                      <w:left w:val="none" w:color="000000" w:sz="4"/>
                      <w:bottom w:val="none" w:color="000000" w:sz="4"/>
                      <w:right w:val="none" w:color="000000" w:sz="4"/>
                      <w:insideH w:val="none"/>
                      <w:insideV w:val="none"/>
                    </w:tblBorders>
                  </w:tblPr>
                  <w:tblGrid>
                    <w:gridCol w:w="1637"/>
                  </w:tblGrid>
                  <w:tr>
                    <w:tc>
                      <w:tcPr>
                        <w:tcW w:type="dxa" w:w="16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齿科疾病</w:t>
                        </w:r>
                      </w:p>
                    </w:tc>
                  </w:tr>
                  <w:tr>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龋齿</w:t>
                        </w:r>
                      </w:p>
                    </w:tc>
                  </w:tr>
                  <w:tr>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牙槽脓肿</w:t>
                        </w:r>
                      </w:p>
                    </w:tc>
                  </w:tr>
                  <w:tr>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牙结石（钙化的牙菌斑）</w:t>
                        </w:r>
                      </w:p>
                    </w:tc>
                  </w:tr>
                  <w:tr>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牙周病</w:t>
                        </w:r>
                      </w:p>
                    </w:tc>
                  </w:tr>
                  <w:tr>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牙齿生前脱落</w:t>
                        </w:r>
                      </w:p>
                    </w:tc>
                  </w:tr>
                  <w:tr>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釉质发育不全</w:t>
                        </w:r>
                      </w:p>
                    </w:tc>
                  </w:tr>
                  <w:tr>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其他齿科疾病及相关病症</w:t>
                        </w:r>
                      </w:p>
                    </w:tc>
                  </w:tr>
                </w:tbl>
                <w:tbl>
                  <w:tblPr>
                    <w:tblBorders>
                      <w:top w:val="none" w:color="000000" w:sz="4"/>
                      <w:left w:val="none" w:color="000000" w:sz="4"/>
                      <w:bottom w:val="none" w:color="000000" w:sz="4"/>
                      <w:right w:val="none" w:color="000000" w:sz="4"/>
                      <w:insideH w:val="none"/>
                      <w:insideV w:val="none"/>
                    </w:tblBorders>
                  </w:tblPr>
                  <w:tblGrid>
                    <w:gridCol w:w="342"/>
                    <w:gridCol w:w="1291"/>
                  </w:tblGrid>
                  <w:tr>
                    <w:tc>
                      <w:tcPr>
                        <w:tcW w:type="dxa" w:w="163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关节疾病</w:t>
                        </w:r>
                      </w:p>
                    </w:tc>
                  </w:tr>
                  <w:tr>
                    <w:tc>
                      <w:tcPr>
                        <w:tcW w:type="dxa" w:w="163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骨关节炎</w:t>
                        </w:r>
                      </w:p>
                    </w:tc>
                  </w:tr>
                  <w:tr>
                    <w:tc>
                      <w:tcPr>
                        <w:tcW w:type="dxa" w:w="163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炎症反应型关节病：化脓性关节炎</w:t>
                        </w:r>
                      </w:p>
                    </w:tc>
                  </w:tr>
                  <w:tr>
                    <w:tc>
                      <w:tcPr>
                        <w:tcW w:type="dxa" w:w="163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新陈代谢型关节病：痛风性关节炎</w:t>
                        </w:r>
                      </w:p>
                    </w:tc>
                  </w:tr>
                  <w:tr>
                    <w:tc>
                      <w:tcPr>
                        <w:tcW w:type="dxa" w:w="3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免疫反应型关节病</w:t>
                        </w:r>
                      </w:p>
                    </w:tc>
                    <w:tc>
                      <w:tcPr>
                        <w:tcW w:type="dxa" w:w="1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风湿性关节炎</w:t>
                        </w:r>
                      </w:p>
                    </w:tc>
                  </w:tr>
                  <w:tr>
                    <w:tc>
                      <w:tcPr>
                        <w:tcW w:type="dxa" w:w="342"/>
                        <w:vMerge/>
                        <w:tcBorders>
                          <w:top w:val="none" w:color="000000" w:sz="4"/>
                          <w:left w:val="single" w:color="000000" w:sz="4"/>
                          <w:bottom w:val="single" w:color="000000" w:sz="4"/>
                          <w:right w:val="single" w:color="000000" w:sz="4"/>
                        </w:tcBorders>
                      </w:tcP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银屑病性关节炎</w:t>
                        </w:r>
                      </w:p>
                    </w:tc>
                  </w:tr>
                  <w:tr>
                    <w:tc>
                      <w:tcPr>
                        <w:tcW w:type="dxa" w:w="342"/>
                        <w:vMerge/>
                        <w:tcBorders>
                          <w:top w:val="none" w:color="000000" w:sz="4"/>
                          <w:left w:val="single" w:color="000000" w:sz="4"/>
                          <w:bottom w:val="single" w:color="000000" w:sz="4"/>
                          <w:right w:val="single" w:color="000000" w:sz="4"/>
                        </w:tcBorders>
                      </w:tcP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强直性脊柱炎</w:t>
                        </w:r>
                      </w:p>
                    </w:tc>
                  </w:tr>
                  <w:tr>
                    <w:tc>
                      <w:tcPr>
                        <w:tcW w:type="dxa" w:w="342"/>
                        <w:vMerge/>
                        <w:tcBorders>
                          <w:top w:val="none" w:color="000000" w:sz="4"/>
                          <w:left w:val="single" w:color="000000" w:sz="4"/>
                          <w:bottom w:val="single" w:color="000000" w:sz="4"/>
                          <w:right w:val="single" w:color="000000" w:sz="4"/>
                        </w:tcBorders>
                      </w:tcP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弥漫性特发性骨质增生症</w:t>
                        </w:r>
                      </w:p>
                    </w:tc>
                  </w:tr>
                </w:tbl>
                <w:tbl>
                  <w:tblPr>
                    <w:tblBorders>
                      <w:top w:val="none" w:color="000000" w:sz="4"/>
                      <w:left w:val="none" w:color="000000" w:sz="4"/>
                      <w:bottom w:val="none" w:color="000000" w:sz="4"/>
                      <w:right w:val="none" w:color="000000" w:sz="4"/>
                      <w:insideH w:val="none"/>
                      <w:insideV w:val="none"/>
                    </w:tblBorders>
                  </w:tblPr>
                  <w:tblGrid>
                    <w:gridCol w:w="375"/>
                    <w:gridCol w:w="1261"/>
                  </w:tblGrid>
                  <w:tr>
                    <w:tc>
                      <w:tcPr>
                        <w:tcW w:type="dxa" w:w="163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传染性疾病</w:t>
                        </w:r>
                      </w:p>
                    </w:tc>
                  </w:tr>
                  <w:tr>
                    <w:tc>
                      <w:tcPr>
                        <w:tcW w:type="dxa" w:w="3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非特异性感染</w:t>
                        </w:r>
                      </w:p>
                    </w:tc>
                    <w:tc>
                      <w:tcPr>
                        <w:tcW w:type="dxa" w:w="12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骨髓炎</w:t>
                        </w:r>
                      </w:p>
                    </w:tc>
                  </w:tr>
                  <w:tr>
                    <w:tc>
                      <w:tcPr>
                        <w:tcW w:type="dxa" w:w="375"/>
                        <w:vMerge/>
                        <w:tcBorders>
                          <w:top w:val="none" w:color="000000" w:sz="4"/>
                          <w:left w:val="single" w:color="000000" w:sz="4"/>
                          <w:bottom w:val="single" w:color="000000" w:sz="4"/>
                          <w:right w:val="single" w:color="000000" w:sz="4"/>
                        </w:tcBorders>
                      </w:tcPr>
                      <w:p/>
                    </w:tc>
                    <w:tc>
                      <w:tcPr>
                        <w:tcW w:type="dxa" w:w="1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骨膜炎</w:t>
                        </w:r>
                      </w:p>
                    </w:tc>
                  </w:tr>
                  <w:tr>
                    <w:tc>
                      <w:tcPr>
                        <w:tcW w:type="dxa" w:w="375"/>
                        <w:vMerge/>
                        <w:tcBorders>
                          <w:top w:val="none" w:color="000000" w:sz="4"/>
                          <w:left w:val="single" w:color="000000" w:sz="4"/>
                          <w:bottom w:val="single" w:color="000000" w:sz="4"/>
                          <w:right w:val="single" w:color="000000" w:sz="4"/>
                        </w:tcBorders>
                      </w:tcPr>
                      <w:p/>
                    </w:tc>
                    <w:tc>
                      <w:tcPr>
                        <w:tcW w:type="dxa" w:w="1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窦炎</w:t>
                        </w:r>
                      </w:p>
                    </w:tc>
                  </w:tr>
                  <w:tr>
                    <w:tc>
                      <w:tcPr>
                        <w:tcW w:type="dxa" w:w="375"/>
                        <w:vMerge/>
                        <w:tcBorders>
                          <w:top w:val="none" w:color="000000" w:sz="4"/>
                          <w:left w:val="single" w:color="000000" w:sz="4"/>
                          <w:bottom w:val="single" w:color="000000" w:sz="4"/>
                          <w:right w:val="single" w:color="000000" w:sz="4"/>
                        </w:tcBorders>
                      </w:tcPr>
                      <w:p/>
                    </w:tc>
                    <w:tc>
                      <w:tcPr>
                        <w:tcW w:type="dxa" w:w="1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中耳和乳突的感染</w:t>
                        </w:r>
                      </w:p>
                    </w:tc>
                  </w:tr>
                  <w:tr>
                    <w:tc>
                      <w:tcPr>
                        <w:tcW w:type="dxa" w:w="375"/>
                        <w:vMerge/>
                        <w:tcBorders>
                          <w:top w:val="none" w:color="000000" w:sz="4"/>
                          <w:left w:val="single" w:color="000000" w:sz="4"/>
                          <w:bottom w:val="single" w:color="000000" w:sz="4"/>
                          <w:right w:val="single" w:color="000000" w:sz="4"/>
                        </w:tcBorders>
                      </w:tcPr>
                      <w:p/>
                    </w:tc>
                    <w:tc>
                      <w:tcPr>
                        <w:tcW w:type="dxa" w:w="1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颅内感染</w:t>
                        </w:r>
                      </w:p>
                    </w:tc>
                  </w:tr>
                  <w:tr>
                    <w:tc>
                      <w:tcPr>
                        <w:tcW w:type="dxa" w:w="375"/>
                        <w:vMerge/>
                        <w:tcBorders>
                          <w:top w:val="none" w:color="000000" w:sz="4"/>
                          <w:left w:val="single" w:color="000000" w:sz="4"/>
                          <w:bottom w:val="single" w:color="000000" w:sz="4"/>
                          <w:right w:val="single" w:color="000000" w:sz="4"/>
                        </w:tcBorders>
                      </w:tcPr>
                      <w:p/>
                    </w:tc>
                    <w:tc>
                      <w:tcPr>
                        <w:tcW w:type="dxa" w:w="1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软组织感染</w:t>
                        </w:r>
                      </w:p>
                    </w:tc>
                  </w:tr>
                  <w:tr>
                    <w:tc>
                      <w:tcPr>
                        <w:tcW w:type="dxa" w:w="3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特异性感染</w:t>
                        </w:r>
                      </w:p>
                    </w:tc>
                    <w:tc>
                      <w:tcPr>
                        <w:tcW w:type="dxa" w:w="1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结核病</w:t>
                        </w:r>
                      </w:p>
                    </w:tc>
                  </w:tr>
                  <w:tr>
                    <w:tc>
                      <w:tcPr>
                        <w:tcW w:type="dxa" w:w="375"/>
                        <w:vMerge/>
                        <w:tcBorders>
                          <w:top w:val="none" w:color="000000" w:sz="4"/>
                          <w:left w:val="single" w:color="000000" w:sz="4"/>
                          <w:bottom w:val="single" w:color="000000" w:sz="4"/>
                          <w:right w:val="single" w:color="000000" w:sz="4"/>
                        </w:tcBorders>
                      </w:tcPr>
                      <w:p/>
                    </w:tc>
                    <w:tc>
                      <w:tcPr>
                        <w:tcW w:type="dxa" w:w="1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麻风病</w:t>
                        </w:r>
                      </w:p>
                    </w:tc>
                  </w:tr>
                  <w:tr>
                    <w:tc>
                      <w:tcPr>
                        <w:tcW w:type="dxa" w:w="375"/>
                        <w:vMerge/>
                        <w:tcBorders>
                          <w:top w:val="none" w:color="000000" w:sz="4"/>
                          <w:left w:val="single" w:color="000000" w:sz="4"/>
                          <w:bottom w:val="single" w:color="000000" w:sz="4"/>
                          <w:right w:val="single" w:color="000000" w:sz="4"/>
                        </w:tcBorders>
                      </w:tcPr>
                      <w:p/>
                    </w:tc>
                    <w:tc>
                      <w:tcPr>
                        <w:tcW w:type="dxa" w:w="1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密螺旋体属疾病</w:t>
                        </w:r>
                      </w:p>
                    </w:tc>
                  </w:tr>
                  <w:tr>
                    <w:tc>
                      <w:tcPr>
                        <w:tcW w:type="dxa" w:w="375"/>
                        <w:vMerge/>
                        <w:tcBorders>
                          <w:top w:val="none" w:color="000000" w:sz="4"/>
                          <w:left w:val="single" w:color="000000" w:sz="4"/>
                          <w:bottom w:val="single" w:color="000000" w:sz="4"/>
                          <w:right w:val="single" w:color="000000" w:sz="4"/>
                        </w:tcBorders>
                      </w:tcPr>
                      <w:p/>
                    </w:tc>
                    <w:tc>
                      <w:tcPr>
                        <w:tcW w:type="dxa" w:w="1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布鲁氏菌病和霉菌病</w:t>
                        </w:r>
                      </w:p>
                    </w:tc>
                  </w:tr>
                  <w:tr>
                    <w:tc>
                      <w:tcPr>
                        <w:tcW w:type="dxa" w:w="16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寄生虫感染</w:t>
                        </w:r>
                      </w:p>
                    </w:tc>
                  </w:tr>
                </w:tbl>
                <w:tbl>
                  <w:tblPr>
                    <w:tblBorders>
                      <w:top w:val="none" w:color="000000" w:sz="4"/>
                      <w:left w:val="none" w:color="000000" w:sz="4"/>
                      <w:bottom w:val="none" w:color="000000" w:sz="4"/>
                      <w:right w:val="none" w:color="000000" w:sz="4"/>
                      <w:insideH w:val="none"/>
                      <w:insideV w:val="none"/>
                    </w:tblBorders>
                  </w:tblPr>
                  <w:tblGrid>
                    <w:gridCol w:w="328"/>
                    <w:gridCol w:w="1304"/>
                  </w:tblGrid>
                  <w:tr>
                    <w:tc>
                      <w:tcPr>
                        <w:tcW w:type="dxa" w:w="163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新陈代谢和内分泌疾病</w:t>
                        </w:r>
                      </w:p>
                    </w:tc>
                  </w:tr>
                  <w:tr>
                    <w:tc>
                      <w:tcPr>
                        <w:tcW w:type="dxa" w:w="3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新陈代谢类疾病</w:t>
                        </w:r>
                      </w:p>
                    </w:tc>
                    <w:tc>
                      <w:tcPr>
                        <w:tcW w:type="dxa" w:w="1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贫血</w:t>
                        </w:r>
                      </w:p>
                    </w:tc>
                  </w:tr>
                  <w:tr>
                    <w:tc>
                      <w:tcPr>
                        <w:tcW w:type="dxa" w:w="328"/>
                        <w:vMerge/>
                        <w:tcBorders>
                          <w:top w:val="none" w:color="000000" w:sz="4"/>
                          <w:left w:val="single" w:color="000000" w:sz="4"/>
                          <w:bottom w:val="single" w:color="000000" w:sz="4"/>
                          <w:right w:val="single" w:color="000000" w:sz="4"/>
                        </w:tcBorders>
                      </w:tcP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维生素</w:t>
                        </w:r>
                        <w:r>
                          <w:rPr>
                            <w:rFonts w:ascii="仿宋_GB2312" w:hAnsi="仿宋_GB2312" w:cs="仿宋_GB2312" w:eastAsia="仿宋_GB2312"/>
                            <w:sz w:val="21"/>
                          </w:rPr>
                          <w:t>C和维生素D缺乏</w:t>
                        </w:r>
                      </w:p>
                    </w:tc>
                  </w:tr>
                  <w:tr>
                    <w:tc>
                      <w:tcPr>
                        <w:tcW w:type="dxa" w:w="328"/>
                        <w:vMerge/>
                        <w:tcBorders>
                          <w:top w:val="none" w:color="000000" w:sz="4"/>
                          <w:left w:val="single" w:color="000000" w:sz="4"/>
                          <w:bottom w:val="single" w:color="000000" w:sz="4"/>
                          <w:right w:val="single" w:color="000000" w:sz="4"/>
                        </w:tcBorders>
                      </w:tcP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哈里斯线生长停滞线</w:t>
                        </w:r>
                      </w:p>
                    </w:tc>
                  </w:tr>
                  <w:tr>
                    <w:tc>
                      <w:tcPr>
                        <w:tcW w:type="dxa" w:w="328"/>
                        <w:vMerge/>
                        <w:tcBorders>
                          <w:top w:val="none" w:color="000000" w:sz="4"/>
                          <w:left w:val="single" w:color="000000" w:sz="4"/>
                          <w:bottom w:val="single" w:color="000000" w:sz="4"/>
                          <w:right w:val="single" w:color="000000" w:sz="4"/>
                        </w:tcBorders>
                      </w:tcP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骨质疏松症</w:t>
                        </w:r>
                      </w:p>
                    </w:tc>
                  </w:tr>
                  <w:tr>
                    <w:tc>
                      <w:tcPr>
                        <w:tcW w:type="dxa" w:w="163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内分泌疾病</w:t>
                        </w:r>
                      </w:p>
                    </w:tc>
                  </w:tr>
                  <w:tr>
                    <w:tc>
                      <w:tcPr>
                        <w:tcW w:type="dxa" w:w="163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佩吉特氏病</w:t>
                        </w:r>
                      </w:p>
                    </w:tc>
                  </w:tr>
                </w:tbl>
                <w:tbl>
                  <w:tblPr>
                    <w:tblBorders>
                      <w:top w:val="none" w:color="000000" w:sz="4"/>
                      <w:left w:val="none" w:color="000000" w:sz="4"/>
                      <w:bottom w:val="none" w:color="000000" w:sz="4"/>
                      <w:right w:val="none" w:color="000000" w:sz="4"/>
                      <w:insideH w:val="none"/>
                      <w:insideV w:val="none"/>
                    </w:tblBorders>
                  </w:tblPr>
                  <w:tblGrid>
                    <w:gridCol w:w="1637"/>
                  </w:tblGrid>
                  <w:tr>
                    <w:tc>
                      <w:tcPr>
                        <w:tcW w:type="dxa" w:w="16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肿瘤性疾病</w:t>
                        </w:r>
                      </w:p>
                    </w:tc>
                  </w:tr>
                  <w:tr>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良性肿瘤</w:t>
                        </w:r>
                      </w:p>
                    </w:tc>
                  </w:tr>
                  <w:tr>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恶性肿瘤</w:t>
                        </w:r>
                      </w:p>
                    </w:tc>
                  </w:tr>
                  <w:tr>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继发性肿瘤</w:t>
                        </w:r>
                      </w:p>
                    </w:tc>
                  </w:tr>
                </w:tbl>
                <w:tbl>
                  <w:tblPr>
                    <w:tblBorders>
                      <w:top w:val="none" w:color="000000" w:sz="4"/>
                      <w:left w:val="none" w:color="000000" w:sz="4"/>
                      <w:bottom w:val="none" w:color="000000" w:sz="4"/>
                      <w:right w:val="none" w:color="000000" w:sz="4"/>
                      <w:insideH w:val="none"/>
                      <w:insideV w:val="none"/>
                    </w:tblBorders>
                  </w:tblPr>
                  <w:tblGrid>
                    <w:gridCol w:w="1637"/>
                  </w:tblGrid>
                  <w:tr>
                    <w:tc>
                      <w:tcPr>
                        <w:tcW w:type="dxa" w:w="16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创伤</w:t>
                        </w:r>
                      </w:p>
                    </w:tc>
                  </w:tr>
                  <w:tr>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骨折</w:t>
                        </w:r>
                      </w:p>
                    </w:tc>
                  </w:tr>
                  <w:tr>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骨折愈合</w:t>
                        </w:r>
                      </w:p>
                    </w:tc>
                  </w:tr>
                  <w:tr>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骨折并发症</w:t>
                        </w:r>
                      </w:p>
                    </w:tc>
                  </w:tr>
                  <w:tr>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暴力冲突和外伤</w:t>
                        </w:r>
                      </w:p>
                    </w:tc>
                  </w:tr>
                  <w:tr>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斩首和剥头皮</w:t>
                        </w:r>
                      </w:p>
                    </w:tc>
                  </w:tr>
                  <w:tr>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脱位</w:t>
                        </w:r>
                      </w:p>
                    </w:tc>
                  </w:tr>
                  <w:tr>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分离性骨软骨炎</w:t>
                        </w:r>
                      </w:p>
                    </w:tc>
                  </w:tr>
                </w:tbl>
                <w:p>
                  <w:pPr>
                    <w:pStyle w:val="null3"/>
                    <w:jc w:val="left"/>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碳同位素</w:t>
                  </w:r>
                </w:p>
                <w:p>
                  <w:pPr>
                    <w:pStyle w:val="null3"/>
                    <w:jc w:val="center"/>
                  </w:pPr>
                  <w:r>
                    <w:rPr>
                      <w:rFonts w:ascii="仿宋_GB2312" w:hAnsi="仿宋_GB2312" w:cs="仿宋_GB2312" w:eastAsia="仿宋_GB2312"/>
                      <w:sz w:val="21"/>
                    </w:rPr>
                    <w:t>氮同位素</w:t>
                  </w:r>
                </w:p>
              </w:tc>
              <w:tc>
                <w:tcPr>
                  <w:tcW w:type="dxa" w:w="1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选取保存较好的四肢骨为样品并去除骨骼表面污染，提取人骨的骨胶原，然后用同位素质谱仪对每个样品的骨胶原进行</w:t>
                  </w:r>
                  <w:r>
                    <w:rPr>
                      <w:rFonts w:ascii="仿宋_GB2312" w:hAnsi="仿宋_GB2312" w:cs="仿宋_GB2312" w:eastAsia="仿宋_GB2312"/>
                      <w:sz w:val="21"/>
                    </w:rPr>
                    <w:t>C、N同位素比率测定，并在此基础上，对数据进行分析，推断古代居民的食谱结构（植物性/动物性食物比例）。</w:t>
                  </w:r>
                </w:p>
                <w:p>
                  <w:pPr>
                    <w:pStyle w:val="null3"/>
                    <w:ind w:firstLine="422"/>
                    <w:jc w:val="both"/>
                  </w:pPr>
                  <w:r>
                    <w:rPr>
                      <w:rFonts w:ascii="仿宋_GB2312" w:hAnsi="仿宋_GB2312" w:cs="仿宋_GB2312" w:eastAsia="仿宋_GB2312"/>
                      <w:sz w:val="21"/>
                      <w:b/>
                    </w:rPr>
                    <w:t>碳、氮同位素</w:t>
                  </w:r>
                  <w:r>
                    <w:rPr>
                      <w:rFonts w:ascii="仿宋_GB2312" w:hAnsi="仿宋_GB2312" w:cs="仿宋_GB2312" w:eastAsia="仿宋_GB2312"/>
                      <w:sz w:val="21"/>
                    </w:rPr>
                    <w:t>分析仪器是稳定同位素比值质谱仪和元素分析仪。主要</w:t>
                  </w:r>
                  <w:r>
                    <w:rPr>
                      <w:rFonts w:ascii="仿宋_GB2312" w:hAnsi="仿宋_GB2312" w:cs="仿宋_GB2312" w:eastAsia="仿宋_GB2312"/>
                      <w:sz w:val="21"/>
                    </w:rPr>
                    <w:t>参数</w:t>
                  </w:r>
                  <w:r>
                    <w:rPr>
                      <w:rFonts w:ascii="仿宋_GB2312" w:hAnsi="仿宋_GB2312" w:cs="仿宋_GB2312" w:eastAsia="仿宋_GB2312"/>
                      <w:sz w:val="21"/>
                    </w:rPr>
                    <w:t>指标：</w:t>
                  </w:r>
                </w:p>
                <w:p>
                  <w:pPr>
                    <w:pStyle w:val="null3"/>
                    <w:ind w:firstLine="420"/>
                    <w:jc w:val="both"/>
                  </w:pPr>
                  <w:r>
                    <w:rPr>
                      <w:rFonts w:ascii="仿宋_GB2312" w:hAnsi="仿宋_GB2312" w:cs="仿宋_GB2312" w:eastAsia="仿宋_GB2312"/>
                      <w:sz w:val="21"/>
                    </w:rPr>
                    <w:t>1.精度：≤0.2‰；</w:t>
                  </w:r>
                </w:p>
                <w:p>
                  <w:pPr>
                    <w:pStyle w:val="null3"/>
                    <w:ind w:firstLine="420"/>
                    <w:jc w:val="both"/>
                  </w:pPr>
                  <w:r>
                    <w:rPr>
                      <w:rFonts w:ascii="仿宋_GB2312" w:hAnsi="仿宋_GB2312" w:cs="仿宋_GB2312" w:eastAsia="仿宋_GB2312"/>
                      <w:sz w:val="21"/>
                    </w:rPr>
                    <w:t>2.检出限：300μg-500μg；</w:t>
                  </w:r>
                </w:p>
                <w:p>
                  <w:pPr>
                    <w:pStyle w:val="null3"/>
                    <w:ind w:firstLine="420"/>
                    <w:jc w:val="both"/>
                  </w:pPr>
                  <w:r>
                    <w:rPr>
                      <w:rFonts w:ascii="仿宋_GB2312" w:hAnsi="仿宋_GB2312" w:cs="仿宋_GB2312" w:eastAsia="仿宋_GB2312"/>
                      <w:sz w:val="21"/>
                    </w:rPr>
                    <w:t>3.标样：至少2种国际标准样品进行标定。</w:t>
                  </w:r>
                </w:p>
              </w:tc>
            </w:tr>
          </w:tbl>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2）测试样本量</w:t>
            </w:r>
          </w:p>
          <w:p>
            <w:pPr>
              <w:pStyle w:val="null3"/>
              <w:ind w:firstLine="420"/>
              <w:jc w:val="both"/>
            </w:pPr>
            <w:r>
              <w:rPr>
                <w:rFonts w:ascii="仿宋_GB2312" w:hAnsi="仿宋_GB2312" w:cs="仿宋_GB2312" w:eastAsia="仿宋_GB2312"/>
                <w:sz w:val="21"/>
              </w:rPr>
              <w:t>病理、创伤分析</w:t>
            </w:r>
            <w:r>
              <w:rPr>
                <w:rFonts w:ascii="仿宋_GB2312" w:hAnsi="仿宋_GB2312" w:cs="仿宋_GB2312" w:eastAsia="仿宋_GB2312"/>
                <w:sz w:val="21"/>
              </w:rPr>
              <w:t>：</w:t>
            </w:r>
            <w:r>
              <w:rPr>
                <w:rFonts w:ascii="仿宋_GB2312" w:hAnsi="仿宋_GB2312" w:cs="仿宋_GB2312" w:eastAsia="仿宋_GB2312"/>
                <w:sz w:val="21"/>
              </w:rPr>
              <w:t>70个样本</w:t>
            </w:r>
          </w:p>
          <w:p>
            <w:pPr>
              <w:pStyle w:val="null3"/>
              <w:ind w:firstLine="420"/>
              <w:jc w:val="both"/>
            </w:pPr>
            <w:r>
              <w:rPr>
                <w:rFonts w:ascii="仿宋_GB2312" w:hAnsi="仿宋_GB2312" w:cs="仿宋_GB2312" w:eastAsia="仿宋_GB2312"/>
                <w:sz w:val="21"/>
              </w:rPr>
              <w:t>碳同位素</w:t>
            </w:r>
            <w:r>
              <w:rPr>
                <w:rFonts w:ascii="仿宋_GB2312" w:hAnsi="仿宋_GB2312" w:cs="仿宋_GB2312" w:eastAsia="仿宋_GB2312"/>
                <w:sz w:val="21"/>
              </w:rPr>
              <w:t>：</w:t>
            </w:r>
            <w:r>
              <w:rPr>
                <w:rFonts w:ascii="仿宋_GB2312" w:hAnsi="仿宋_GB2312" w:cs="仿宋_GB2312" w:eastAsia="仿宋_GB2312"/>
                <w:sz w:val="21"/>
              </w:rPr>
              <w:t>50个样本</w:t>
            </w:r>
          </w:p>
          <w:p>
            <w:pPr>
              <w:pStyle w:val="null3"/>
              <w:ind w:firstLine="420"/>
              <w:jc w:val="both"/>
            </w:pPr>
            <w:r>
              <w:rPr>
                <w:rFonts w:ascii="仿宋_GB2312" w:hAnsi="仿宋_GB2312" w:cs="仿宋_GB2312" w:eastAsia="仿宋_GB2312"/>
                <w:sz w:val="21"/>
              </w:rPr>
              <w:t>氮同位素</w:t>
            </w:r>
            <w:r>
              <w:rPr>
                <w:rFonts w:ascii="仿宋_GB2312" w:hAnsi="仿宋_GB2312" w:cs="仿宋_GB2312" w:eastAsia="仿宋_GB2312"/>
                <w:sz w:val="21"/>
              </w:rPr>
              <w:t>：</w:t>
            </w:r>
            <w:r>
              <w:rPr>
                <w:rFonts w:ascii="仿宋_GB2312" w:hAnsi="仿宋_GB2312" w:cs="仿宋_GB2312" w:eastAsia="仿宋_GB2312"/>
                <w:sz w:val="21"/>
              </w:rPr>
              <w:t>50个样本</w:t>
            </w:r>
          </w:p>
          <w:p>
            <w:pPr>
              <w:pStyle w:val="null3"/>
              <w:jc w:val="center"/>
            </w:pPr>
            <w:r>
              <w:rPr>
                <w:rFonts w:ascii="仿宋_GB2312" w:hAnsi="仿宋_GB2312" w:cs="仿宋_GB2312" w:eastAsia="仿宋_GB2312"/>
                <w:sz w:val="21"/>
                <w:b/>
              </w:rPr>
              <w:t>KGTC-2019-037项目出土人骨检测分析项目与具体参数</w:t>
            </w:r>
          </w:p>
          <w:p>
            <w:pPr>
              <w:pStyle w:val="null3"/>
              <w:ind w:firstLine="422"/>
              <w:jc w:val="both"/>
            </w:pPr>
            <w:r>
              <w:rPr>
                <w:rFonts w:ascii="仿宋_GB2312" w:hAnsi="仿宋_GB2312" w:cs="仿宋_GB2312" w:eastAsia="仿宋_GB2312"/>
                <w:sz w:val="21"/>
                <w:b/>
              </w:rPr>
              <w:t>一、项目背景</w:t>
            </w:r>
          </w:p>
          <w:p>
            <w:pPr>
              <w:pStyle w:val="null3"/>
              <w:ind w:firstLine="420"/>
              <w:jc w:val="both"/>
            </w:pPr>
            <w:r>
              <w:rPr>
                <w:rFonts w:ascii="仿宋_GB2312" w:hAnsi="仿宋_GB2312" w:cs="仿宋_GB2312" w:eastAsia="仿宋_GB2312"/>
                <w:sz w:val="21"/>
              </w:rPr>
              <w:t>KGTC-2019-037项目是一处</w:t>
            </w:r>
            <w:r>
              <w:rPr>
                <w:rFonts w:ascii="仿宋_GB2312" w:hAnsi="仿宋_GB2312" w:cs="仿宋_GB2312" w:eastAsia="仿宋_GB2312"/>
                <w:sz w:val="21"/>
              </w:rPr>
              <w:t>时间延续较长、文化面貌特殊、骨骼保存状况良好</w:t>
            </w:r>
            <w:r>
              <w:rPr>
                <w:rFonts w:ascii="仿宋_GB2312" w:hAnsi="仿宋_GB2312" w:cs="仿宋_GB2312" w:eastAsia="仿宋_GB2312"/>
                <w:sz w:val="21"/>
              </w:rPr>
              <w:t>的墓葬群，</w:t>
            </w:r>
            <w:r>
              <w:rPr>
                <w:rFonts w:ascii="仿宋_GB2312" w:hAnsi="仿宋_GB2312" w:cs="仿宋_GB2312" w:eastAsia="仿宋_GB2312"/>
                <w:sz w:val="21"/>
              </w:rPr>
              <w:t>对于研究西安周边古代人群交流有重要价值。目前</w:t>
            </w:r>
            <w:r>
              <w:rPr>
                <w:rFonts w:ascii="仿宋_GB2312" w:hAnsi="仿宋_GB2312" w:cs="仿宋_GB2312" w:eastAsia="仿宋_GB2312"/>
                <w:sz w:val="21"/>
              </w:rPr>
              <w:t>正在开展</w:t>
            </w:r>
            <w:r>
              <w:rPr>
                <w:rFonts w:ascii="仿宋_GB2312" w:hAnsi="仿宋_GB2312" w:cs="仿宋_GB2312" w:eastAsia="仿宋_GB2312"/>
                <w:sz w:val="21"/>
              </w:rPr>
              <w:t>考古</w:t>
            </w:r>
            <w:r>
              <w:rPr>
                <w:rFonts w:ascii="仿宋_GB2312" w:hAnsi="仿宋_GB2312" w:cs="仿宋_GB2312" w:eastAsia="仿宋_GB2312"/>
                <w:sz w:val="21"/>
              </w:rPr>
              <w:t>学研究工作，</w:t>
            </w:r>
            <w:r>
              <w:rPr>
                <w:rFonts w:ascii="仿宋_GB2312" w:hAnsi="仿宋_GB2312" w:cs="仿宋_GB2312" w:eastAsia="仿宋_GB2312"/>
                <w:sz w:val="21"/>
              </w:rPr>
              <w:t>因报告整理进度较快、人员力量缺乏，部分墓葬绝对年代较难确定，科技分析仪器设备缺乏，周边遗址数据不完备，</w:t>
            </w:r>
            <w:r>
              <w:rPr>
                <w:rFonts w:ascii="仿宋_GB2312" w:hAnsi="仿宋_GB2312" w:cs="仿宋_GB2312" w:eastAsia="仿宋_GB2312"/>
                <w:sz w:val="21"/>
              </w:rPr>
              <w:t>为确认墓葬年代，厘清</w:t>
            </w:r>
            <w:r>
              <w:rPr>
                <w:rFonts w:ascii="仿宋_GB2312" w:hAnsi="仿宋_GB2312" w:cs="仿宋_GB2312" w:eastAsia="仿宋_GB2312"/>
                <w:sz w:val="21"/>
              </w:rPr>
              <w:t>部分</w:t>
            </w:r>
            <w:r>
              <w:rPr>
                <w:rFonts w:ascii="仿宋_GB2312" w:hAnsi="仿宋_GB2312" w:cs="仿宋_GB2312" w:eastAsia="仿宋_GB2312"/>
                <w:sz w:val="21"/>
              </w:rPr>
              <w:t>群体间血缘关系</w:t>
            </w:r>
            <w:r>
              <w:rPr>
                <w:rFonts w:ascii="仿宋_GB2312" w:hAnsi="仿宋_GB2312" w:cs="仿宋_GB2312" w:eastAsia="仿宋_GB2312"/>
                <w:sz w:val="21"/>
              </w:rPr>
              <w:t>、</w:t>
            </w:r>
            <w:r>
              <w:rPr>
                <w:rFonts w:ascii="仿宋_GB2312" w:hAnsi="仿宋_GB2312" w:cs="仿宋_GB2312" w:eastAsia="仿宋_GB2312"/>
                <w:sz w:val="21"/>
              </w:rPr>
              <w:t>群体种族成分、</w:t>
            </w:r>
            <w:r>
              <w:rPr>
                <w:rFonts w:ascii="仿宋_GB2312" w:hAnsi="仿宋_GB2312" w:cs="仿宋_GB2312" w:eastAsia="仿宋_GB2312"/>
                <w:sz w:val="21"/>
              </w:rPr>
              <w:t>人群饮食结构与健康，分析该群体间社会结构，需要对部分墓葬出土人骨材料</w:t>
            </w:r>
            <w:r>
              <w:rPr>
                <w:rFonts w:ascii="仿宋_GB2312" w:hAnsi="仿宋_GB2312" w:cs="仿宋_GB2312" w:eastAsia="仿宋_GB2312"/>
                <w:sz w:val="21"/>
              </w:rPr>
              <w:t>开展</w:t>
            </w:r>
            <w:r>
              <w:rPr>
                <w:rFonts w:ascii="仿宋_GB2312" w:hAnsi="仿宋_GB2312" w:cs="仿宋_GB2312" w:eastAsia="仿宋_GB2312"/>
                <w:sz w:val="21"/>
              </w:rPr>
              <w:t>分析</w:t>
            </w:r>
            <w:r>
              <w:rPr>
                <w:rFonts w:ascii="仿宋_GB2312" w:hAnsi="仿宋_GB2312" w:cs="仿宋_GB2312" w:eastAsia="仿宋_GB2312"/>
                <w:sz w:val="21"/>
              </w:rPr>
              <w:t>测试</w:t>
            </w:r>
            <w:r>
              <w:rPr>
                <w:rFonts w:ascii="仿宋_GB2312" w:hAnsi="仿宋_GB2312" w:cs="仿宋_GB2312" w:eastAsia="仿宋_GB2312"/>
                <w:sz w:val="21"/>
              </w:rPr>
              <w:t>。</w:t>
            </w:r>
          </w:p>
          <w:p>
            <w:pPr>
              <w:pStyle w:val="null3"/>
              <w:ind w:firstLine="422"/>
              <w:jc w:val="both"/>
            </w:pPr>
            <w:r>
              <w:rPr>
                <w:rFonts w:ascii="仿宋_GB2312" w:hAnsi="仿宋_GB2312" w:cs="仿宋_GB2312" w:eastAsia="仿宋_GB2312"/>
                <w:sz w:val="21"/>
                <w:b/>
              </w:rPr>
              <w:t>二、研究目标</w:t>
            </w:r>
          </w:p>
          <w:p>
            <w:pPr>
              <w:pStyle w:val="null3"/>
              <w:ind w:firstLine="420"/>
              <w:jc w:val="both"/>
            </w:pPr>
            <w:r>
              <w:rPr>
                <w:rFonts w:ascii="仿宋_GB2312" w:hAnsi="仿宋_GB2312" w:cs="仿宋_GB2312" w:eastAsia="仿宋_GB2312"/>
                <w:sz w:val="21"/>
              </w:rPr>
              <w:t>1.人群</w:t>
            </w:r>
            <w:r>
              <w:rPr>
                <w:rFonts w:ascii="仿宋_GB2312" w:hAnsi="仿宋_GB2312" w:cs="仿宋_GB2312" w:eastAsia="仿宋_GB2312"/>
                <w:sz w:val="21"/>
              </w:rPr>
              <w:t>源流</w:t>
            </w:r>
            <w:r>
              <w:rPr>
                <w:rFonts w:ascii="仿宋_GB2312" w:hAnsi="仿宋_GB2312" w:cs="仿宋_GB2312" w:eastAsia="仿宋_GB2312"/>
                <w:sz w:val="21"/>
              </w:rPr>
              <w:t>：通过</w:t>
            </w:r>
            <w:r>
              <w:rPr>
                <w:rFonts w:ascii="仿宋_GB2312" w:hAnsi="仿宋_GB2312" w:cs="仿宋_GB2312" w:eastAsia="仿宋_GB2312"/>
                <w:sz w:val="21"/>
              </w:rPr>
              <w:t>锶同位素分析</w:t>
            </w:r>
            <w:r>
              <w:rPr>
                <w:rFonts w:ascii="仿宋_GB2312" w:hAnsi="仿宋_GB2312" w:cs="仿宋_GB2312" w:eastAsia="仿宋_GB2312"/>
                <w:sz w:val="21"/>
              </w:rPr>
              <w:t>，</w:t>
            </w:r>
            <w:r>
              <w:rPr>
                <w:rFonts w:ascii="仿宋_GB2312" w:hAnsi="仿宋_GB2312" w:cs="仿宋_GB2312" w:eastAsia="仿宋_GB2312"/>
                <w:sz w:val="21"/>
              </w:rPr>
              <w:t>结合前人研究数据，</w:t>
            </w:r>
            <w:r>
              <w:rPr>
                <w:rFonts w:ascii="仿宋_GB2312" w:hAnsi="仿宋_GB2312" w:cs="仿宋_GB2312" w:eastAsia="仿宋_GB2312"/>
                <w:sz w:val="21"/>
              </w:rPr>
              <w:t>探讨</w:t>
            </w:r>
            <w:r>
              <w:rPr>
                <w:rFonts w:ascii="仿宋_GB2312" w:hAnsi="仿宋_GB2312" w:cs="仿宋_GB2312" w:eastAsia="仿宋_GB2312"/>
                <w:sz w:val="21"/>
              </w:rPr>
              <w:t>人群来源</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.营养健康与生业模式：</w:t>
            </w:r>
            <w:r>
              <w:rPr>
                <w:rFonts w:ascii="仿宋_GB2312" w:hAnsi="仿宋_GB2312" w:cs="仿宋_GB2312" w:eastAsia="仿宋_GB2312"/>
                <w:sz w:val="21"/>
              </w:rPr>
              <w:t>通过碳、氮</w:t>
            </w:r>
            <w:r>
              <w:rPr>
                <w:rFonts w:ascii="仿宋_GB2312" w:hAnsi="仿宋_GB2312" w:cs="仿宋_GB2312" w:eastAsia="仿宋_GB2312"/>
                <w:sz w:val="21"/>
              </w:rPr>
              <w:t>同位素检测，</w:t>
            </w:r>
            <w:r>
              <w:rPr>
                <w:rFonts w:ascii="仿宋_GB2312" w:hAnsi="仿宋_GB2312" w:cs="仿宋_GB2312" w:eastAsia="仿宋_GB2312"/>
                <w:sz w:val="21"/>
              </w:rPr>
              <w:t>结合</w:t>
            </w:r>
            <w:r>
              <w:rPr>
                <w:rFonts w:ascii="仿宋_GB2312" w:hAnsi="仿宋_GB2312" w:cs="仿宋_GB2312" w:eastAsia="仿宋_GB2312"/>
                <w:sz w:val="21"/>
              </w:rPr>
              <w:t>古病理</w:t>
            </w:r>
            <w:r>
              <w:rPr>
                <w:rFonts w:ascii="仿宋_GB2312" w:hAnsi="仿宋_GB2312" w:cs="仿宋_GB2312" w:eastAsia="仿宋_GB2312"/>
                <w:sz w:val="21"/>
              </w:rPr>
              <w:t>研究与相关文献</w:t>
            </w:r>
            <w:r>
              <w:rPr>
                <w:rFonts w:ascii="仿宋_GB2312" w:hAnsi="仿宋_GB2312" w:cs="仿宋_GB2312" w:eastAsia="仿宋_GB2312"/>
                <w:sz w:val="21"/>
              </w:rPr>
              <w:t>，</w:t>
            </w:r>
            <w:r>
              <w:rPr>
                <w:rFonts w:ascii="仿宋_GB2312" w:hAnsi="仿宋_GB2312" w:cs="仿宋_GB2312" w:eastAsia="仿宋_GB2312"/>
                <w:sz w:val="21"/>
              </w:rPr>
              <w:t>研究古代居民的</w:t>
            </w:r>
            <w:r>
              <w:rPr>
                <w:rFonts w:ascii="仿宋_GB2312" w:hAnsi="仿宋_GB2312" w:cs="仿宋_GB2312" w:eastAsia="仿宋_GB2312"/>
                <w:sz w:val="21"/>
              </w:rPr>
              <w:t>饮食结构、生长发育、</w:t>
            </w:r>
            <w:r>
              <w:rPr>
                <w:rFonts w:ascii="仿宋_GB2312" w:hAnsi="仿宋_GB2312" w:cs="仿宋_GB2312" w:eastAsia="仿宋_GB2312"/>
                <w:sz w:val="21"/>
              </w:rPr>
              <w:t>健康状况与生业模式。</w:t>
            </w:r>
          </w:p>
          <w:p>
            <w:pPr>
              <w:pStyle w:val="null3"/>
              <w:ind w:firstLine="422"/>
              <w:jc w:val="both"/>
            </w:pPr>
            <w:r>
              <w:rPr>
                <w:rFonts w:ascii="仿宋_GB2312" w:hAnsi="仿宋_GB2312" w:cs="仿宋_GB2312" w:eastAsia="仿宋_GB2312"/>
                <w:sz w:val="21"/>
                <w:b/>
              </w:rPr>
              <w:t>三、</w:t>
            </w:r>
            <w:r>
              <w:rPr>
                <w:rFonts w:ascii="仿宋_GB2312" w:hAnsi="仿宋_GB2312" w:cs="仿宋_GB2312" w:eastAsia="仿宋_GB2312"/>
                <w:sz w:val="21"/>
                <w:b/>
              </w:rPr>
              <w:t>测试分析项目、参数、样本量相关要求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1）参数指标</w:t>
            </w:r>
          </w:p>
          <w:tbl>
            <w:tblPr>
              <w:tblInd w:type="dxa" w:w="120"/>
              <w:tblBorders>
                <w:top w:val="none" w:color="000000" w:sz="4"/>
                <w:left w:val="none" w:color="000000" w:sz="4"/>
                <w:bottom w:val="none" w:color="000000" w:sz="4"/>
                <w:right w:val="none" w:color="000000" w:sz="4"/>
                <w:insideH w:val="none"/>
                <w:insideV w:val="none"/>
              </w:tblBorders>
            </w:tblPr>
            <w:tblGrid>
              <w:gridCol w:w="241"/>
              <w:gridCol w:w="389"/>
              <w:gridCol w:w="1910"/>
            </w:tblGrid>
            <w:tr>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测试项目</w:t>
                  </w:r>
                </w:p>
              </w:tc>
              <w:tc>
                <w:tcPr>
                  <w:tcW w:type="dxa" w:w="19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参数</w:t>
                  </w:r>
                </w:p>
              </w:tc>
            </w:tr>
            <w:tr>
              <w:tc>
                <w:tcPr>
                  <w:tcW w:type="dxa" w:w="2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碳同位素</w:t>
                  </w:r>
                </w:p>
              </w:tc>
              <w:tc>
                <w:tcPr>
                  <w:tcW w:type="dxa" w:w="19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选取保存较好的四肢骨为样品并去除骨骼表面污染，提取人骨的骨胶原，然后用同位素质谱仪对每个样品的骨胶原进行</w:t>
                  </w:r>
                  <w:r>
                    <w:rPr>
                      <w:rFonts w:ascii="仿宋_GB2312" w:hAnsi="仿宋_GB2312" w:cs="仿宋_GB2312" w:eastAsia="仿宋_GB2312"/>
                      <w:sz w:val="21"/>
                    </w:rPr>
                    <w:t>C、N同位素比率测定，并在此基础上，对数据进行分析，推断古代居民的食谱结构（植物性/动物性食物比例）。</w:t>
                  </w:r>
                </w:p>
                <w:p>
                  <w:pPr>
                    <w:pStyle w:val="null3"/>
                    <w:ind w:firstLine="420"/>
                    <w:jc w:val="both"/>
                  </w:pPr>
                  <w:r>
                    <w:rPr>
                      <w:rFonts w:ascii="仿宋_GB2312" w:hAnsi="仿宋_GB2312" w:cs="仿宋_GB2312" w:eastAsia="仿宋_GB2312"/>
                      <w:sz w:val="21"/>
                    </w:rPr>
                    <w:t>基于</w:t>
                  </w:r>
                  <w:r>
                    <w:rPr>
                      <w:rFonts w:ascii="仿宋_GB2312" w:hAnsi="仿宋_GB2312" w:cs="仿宋_GB2312" w:eastAsia="仿宋_GB2312"/>
                      <w:sz w:val="21"/>
                    </w:rPr>
                    <w:t>Lee-Thorp提出的牙釉质处理方法，进行牙釉质羟磷灰石的有机物去除工作和牙釉质锶同位素的提取，在质谱仪实验室使用多接收等离子体质谱仪进行Sr同位素测试工作。根据测定结果，判断每个样品是否从属于当地人群，从而对该遗址区城先民的迁徙和文化交流问题进行探讨。</w:t>
                  </w:r>
                </w:p>
                <w:p>
                  <w:pPr>
                    <w:pStyle w:val="null3"/>
                    <w:ind w:firstLine="422"/>
                    <w:jc w:val="both"/>
                  </w:pPr>
                  <w:r>
                    <w:rPr>
                      <w:rFonts w:ascii="仿宋_GB2312" w:hAnsi="仿宋_GB2312" w:cs="仿宋_GB2312" w:eastAsia="仿宋_GB2312"/>
                      <w:sz w:val="21"/>
                      <w:b/>
                    </w:rPr>
                    <w:t>碳、氮同位素</w:t>
                  </w:r>
                  <w:r>
                    <w:rPr>
                      <w:rFonts w:ascii="仿宋_GB2312" w:hAnsi="仿宋_GB2312" w:cs="仿宋_GB2312" w:eastAsia="仿宋_GB2312"/>
                      <w:sz w:val="21"/>
                    </w:rPr>
                    <w:t>分析仪器是稳定同位素比值质谱仪和元素分析仪。主要</w:t>
                  </w:r>
                  <w:r>
                    <w:rPr>
                      <w:rFonts w:ascii="仿宋_GB2312" w:hAnsi="仿宋_GB2312" w:cs="仿宋_GB2312" w:eastAsia="仿宋_GB2312"/>
                      <w:sz w:val="21"/>
                    </w:rPr>
                    <w:t>参数</w:t>
                  </w:r>
                  <w:r>
                    <w:rPr>
                      <w:rFonts w:ascii="仿宋_GB2312" w:hAnsi="仿宋_GB2312" w:cs="仿宋_GB2312" w:eastAsia="仿宋_GB2312"/>
                      <w:sz w:val="21"/>
                    </w:rPr>
                    <w:t>指标：</w:t>
                  </w:r>
                </w:p>
                <w:p>
                  <w:pPr>
                    <w:pStyle w:val="null3"/>
                    <w:ind w:firstLine="420"/>
                    <w:jc w:val="both"/>
                  </w:pPr>
                  <w:r>
                    <w:rPr>
                      <w:rFonts w:ascii="仿宋_GB2312" w:hAnsi="仿宋_GB2312" w:cs="仿宋_GB2312" w:eastAsia="仿宋_GB2312"/>
                      <w:sz w:val="21"/>
                    </w:rPr>
                    <w:t>1.精度：≤0.2‰；</w:t>
                  </w:r>
                </w:p>
                <w:p>
                  <w:pPr>
                    <w:pStyle w:val="null3"/>
                    <w:ind w:firstLine="420"/>
                    <w:jc w:val="both"/>
                  </w:pPr>
                  <w:r>
                    <w:rPr>
                      <w:rFonts w:ascii="仿宋_GB2312" w:hAnsi="仿宋_GB2312" w:cs="仿宋_GB2312" w:eastAsia="仿宋_GB2312"/>
                      <w:sz w:val="21"/>
                    </w:rPr>
                    <w:t>2.检出限：300μg-500μg；</w:t>
                  </w:r>
                </w:p>
                <w:p>
                  <w:pPr>
                    <w:pStyle w:val="null3"/>
                    <w:ind w:firstLine="420"/>
                    <w:jc w:val="both"/>
                  </w:pPr>
                  <w:r>
                    <w:rPr>
                      <w:rFonts w:ascii="仿宋_GB2312" w:hAnsi="仿宋_GB2312" w:cs="仿宋_GB2312" w:eastAsia="仿宋_GB2312"/>
                      <w:sz w:val="21"/>
                    </w:rPr>
                    <w:t>3.标样：至少2种国际标准样品进行标定。</w:t>
                  </w:r>
                </w:p>
                <w:p>
                  <w:pPr>
                    <w:pStyle w:val="null3"/>
                    <w:ind w:firstLine="422"/>
                    <w:jc w:val="both"/>
                  </w:pPr>
                  <w:r>
                    <w:rPr>
                      <w:rFonts w:ascii="仿宋_GB2312" w:hAnsi="仿宋_GB2312" w:cs="仿宋_GB2312" w:eastAsia="仿宋_GB2312"/>
                      <w:sz w:val="21"/>
                      <w:b/>
                    </w:rPr>
                    <w:t>锶同位素</w:t>
                  </w:r>
                  <w:r>
                    <w:rPr>
                      <w:rFonts w:ascii="仿宋_GB2312" w:hAnsi="仿宋_GB2312" w:cs="仿宋_GB2312" w:eastAsia="仿宋_GB2312"/>
                      <w:sz w:val="21"/>
                    </w:rPr>
                    <w:t>分析仪器为大型高分辨率多接受等离子体质谱仪，主要</w:t>
                  </w:r>
                  <w:r>
                    <w:rPr>
                      <w:rFonts w:ascii="仿宋_GB2312" w:hAnsi="仿宋_GB2312" w:cs="仿宋_GB2312" w:eastAsia="仿宋_GB2312"/>
                      <w:sz w:val="21"/>
                    </w:rPr>
                    <w:t>参数</w:t>
                  </w:r>
                  <w:r>
                    <w:rPr>
                      <w:rFonts w:ascii="仿宋_GB2312" w:hAnsi="仿宋_GB2312" w:cs="仿宋_GB2312" w:eastAsia="仿宋_GB2312"/>
                      <w:sz w:val="21"/>
                    </w:rPr>
                    <w:t>指标：</w:t>
                  </w:r>
                </w:p>
                <w:p>
                  <w:pPr>
                    <w:pStyle w:val="null3"/>
                    <w:ind w:firstLine="420"/>
                    <w:jc w:val="both"/>
                  </w:pPr>
                  <w:r>
                    <w:rPr>
                      <w:rFonts w:ascii="仿宋_GB2312" w:hAnsi="仿宋_GB2312" w:cs="仿宋_GB2312" w:eastAsia="仿宋_GB2312"/>
                      <w:sz w:val="21"/>
                    </w:rPr>
                    <w:t>1.内精度：≤0.0020%</w:t>
                  </w:r>
                </w:p>
                <w:p>
                  <w:pPr>
                    <w:pStyle w:val="null3"/>
                    <w:ind w:firstLine="420"/>
                    <w:jc w:val="both"/>
                  </w:pPr>
                  <w:r>
                    <w:rPr>
                      <w:rFonts w:ascii="仿宋_GB2312" w:hAnsi="仿宋_GB2312" w:cs="仿宋_GB2312" w:eastAsia="仿宋_GB2312"/>
                      <w:sz w:val="21"/>
                    </w:rPr>
                    <w:t>2.外精度：≤0.0025%</w:t>
                  </w:r>
                </w:p>
                <w:p>
                  <w:pPr>
                    <w:pStyle w:val="null3"/>
                    <w:ind w:firstLine="420"/>
                    <w:jc w:val="both"/>
                  </w:pPr>
                  <w:r>
                    <w:rPr>
                      <w:rFonts w:ascii="仿宋_GB2312" w:hAnsi="仿宋_GB2312" w:cs="仿宋_GB2312" w:eastAsia="仿宋_GB2312"/>
                      <w:sz w:val="21"/>
                    </w:rPr>
                    <w:t>3.准确度：优于万分之一。</w:t>
                  </w:r>
                </w:p>
              </w:tc>
            </w:tr>
            <w:tr>
              <w:tc>
                <w:tcPr>
                  <w:tcW w:type="dxa" w:w="241"/>
                  <w:vMerge/>
                  <w:tcBorders>
                    <w:top w:val="none" w:color="000000" w:sz="4"/>
                    <w:left w:val="single" w:color="000000" w:sz="4"/>
                    <w:bottom w:val="single" w:color="000000" w:sz="4"/>
                    <w:right w:val="single" w:color="000000" w:sz="4"/>
                  </w:tcBorders>
                </w:tcP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氮同位素</w:t>
                  </w:r>
                </w:p>
              </w:tc>
              <w:tc>
                <w:tcPr>
                  <w:tcW w:type="dxa" w:w="1910"/>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锶同位素</w:t>
                  </w:r>
                </w:p>
              </w:tc>
              <w:tc>
                <w:tcPr>
                  <w:tcW w:type="dxa" w:w="1910"/>
                  <w:vMerge/>
                  <w:tcBorders>
                    <w:top w:val="none" w:color="000000" w:sz="4"/>
                    <w:left w:val="single" w:color="000000" w:sz="4"/>
                    <w:bottom w:val="single" w:color="000000" w:sz="4"/>
                    <w:right w:val="single" w:color="000000" w:sz="4"/>
                  </w:tcBorders>
                </w:tcPr>
                <w:p/>
              </w:tc>
            </w:tr>
          </w:tbl>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2）测试样本量</w:t>
            </w:r>
          </w:p>
          <w:p>
            <w:pPr>
              <w:pStyle w:val="null3"/>
              <w:ind w:firstLine="420"/>
              <w:jc w:val="both"/>
            </w:pPr>
            <w:r>
              <w:rPr>
                <w:rFonts w:ascii="仿宋_GB2312" w:hAnsi="仿宋_GB2312" w:cs="仿宋_GB2312" w:eastAsia="仿宋_GB2312"/>
                <w:sz w:val="21"/>
              </w:rPr>
              <w:t>碳同位素</w:t>
            </w:r>
            <w:r>
              <w:rPr>
                <w:rFonts w:ascii="仿宋_GB2312" w:hAnsi="仿宋_GB2312" w:cs="仿宋_GB2312" w:eastAsia="仿宋_GB2312"/>
                <w:sz w:val="21"/>
              </w:rPr>
              <w:t>：</w:t>
            </w:r>
            <w:r>
              <w:rPr>
                <w:rFonts w:ascii="仿宋_GB2312" w:hAnsi="仿宋_GB2312" w:cs="仿宋_GB2312" w:eastAsia="仿宋_GB2312"/>
                <w:sz w:val="21"/>
              </w:rPr>
              <w:t>40个样本</w:t>
            </w:r>
          </w:p>
          <w:p>
            <w:pPr>
              <w:pStyle w:val="null3"/>
              <w:ind w:firstLine="420"/>
              <w:jc w:val="both"/>
            </w:pPr>
            <w:r>
              <w:rPr>
                <w:rFonts w:ascii="仿宋_GB2312" w:hAnsi="仿宋_GB2312" w:cs="仿宋_GB2312" w:eastAsia="仿宋_GB2312"/>
                <w:sz w:val="21"/>
              </w:rPr>
              <w:t>氮同位素</w:t>
            </w:r>
            <w:r>
              <w:rPr>
                <w:rFonts w:ascii="仿宋_GB2312" w:hAnsi="仿宋_GB2312" w:cs="仿宋_GB2312" w:eastAsia="仿宋_GB2312"/>
                <w:sz w:val="21"/>
              </w:rPr>
              <w:t>：</w:t>
            </w:r>
            <w:r>
              <w:rPr>
                <w:rFonts w:ascii="仿宋_GB2312" w:hAnsi="仿宋_GB2312" w:cs="仿宋_GB2312" w:eastAsia="仿宋_GB2312"/>
                <w:sz w:val="21"/>
              </w:rPr>
              <w:t>40个样本</w:t>
            </w:r>
          </w:p>
          <w:p>
            <w:pPr>
              <w:pStyle w:val="null3"/>
              <w:ind w:firstLine="420"/>
              <w:jc w:val="both"/>
            </w:pPr>
            <w:r>
              <w:rPr>
                <w:rFonts w:ascii="仿宋_GB2312" w:hAnsi="仿宋_GB2312" w:cs="仿宋_GB2312" w:eastAsia="仿宋_GB2312"/>
                <w:sz w:val="21"/>
              </w:rPr>
              <w:t>锶同位素：</w:t>
            </w:r>
            <w:r>
              <w:rPr>
                <w:rFonts w:ascii="仿宋_GB2312" w:hAnsi="仿宋_GB2312" w:cs="仿宋_GB2312" w:eastAsia="仿宋_GB2312"/>
                <w:sz w:val="21"/>
              </w:rPr>
              <w:t>30个样本</w:t>
            </w:r>
          </w:p>
          <w:p>
            <w:pPr>
              <w:pStyle w:val="null3"/>
              <w:jc w:val="center"/>
            </w:pPr>
            <w:r>
              <w:rPr>
                <w:rFonts w:ascii="仿宋_GB2312" w:hAnsi="仿宋_GB2312" w:cs="仿宋_GB2312" w:eastAsia="仿宋_GB2312"/>
                <w:sz w:val="21"/>
                <w:b/>
              </w:rPr>
              <w:t>GX3-22-68项目（周宋遗址）</w:t>
            </w:r>
          </w:p>
          <w:p>
            <w:pPr>
              <w:pStyle w:val="null3"/>
              <w:jc w:val="center"/>
            </w:pPr>
            <w:r>
              <w:rPr>
                <w:rFonts w:ascii="仿宋_GB2312" w:hAnsi="仿宋_GB2312" w:cs="仿宋_GB2312" w:eastAsia="仿宋_GB2312"/>
                <w:sz w:val="21"/>
                <w:b/>
              </w:rPr>
              <w:t>动物、植物遗存分析项目与具体参数概况</w:t>
            </w:r>
          </w:p>
          <w:p>
            <w:pPr>
              <w:pStyle w:val="null3"/>
              <w:ind w:firstLine="422"/>
              <w:jc w:val="both"/>
            </w:pPr>
            <w:r>
              <w:rPr>
                <w:rFonts w:ascii="仿宋_GB2312" w:hAnsi="仿宋_GB2312" w:cs="仿宋_GB2312" w:eastAsia="仿宋_GB2312"/>
                <w:sz w:val="21"/>
                <w:b/>
              </w:rPr>
              <w:t>一、项目背景</w:t>
            </w:r>
          </w:p>
          <w:p>
            <w:pPr>
              <w:pStyle w:val="null3"/>
              <w:ind w:firstLine="420"/>
              <w:jc w:val="both"/>
            </w:pPr>
            <w:r>
              <w:rPr>
                <w:rFonts w:ascii="仿宋_GB2312" w:hAnsi="仿宋_GB2312" w:cs="仿宋_GB2312" w:eastAsia="仿宋_GB2312"/>
                <w:sz w:val="21"/>
              </w:rPr>
              <w:t>GX3-22-68项目（周宋遗址）位于西安市雁塔区鱼化街办周宋村东南约500米处。自2023年11月21日至2024年4月30日，西安市文物保护考古研究院配合基本设施建设，于周宋村南发掘遗址约8000平方米。本次发掘采用探方法，探方规格10米×10米，在项目用地范围内共发掘各类遗迹169处，其中灰坑104座、墓葬49座、房址1座、沟2条、古河道1条、路1条、井11眼。时代涵盖仰韶晚期、汉、隋唐、宋元、明清时期。其中以仰韶晚期灰坑和隋唐时期墓葬为主，共出土器物268件（组）。</w:t>
            </w:r>
          </w:p>
          <w:p>
            <w:pPr>
              <w:pStyle w:val="null3"/>
              <w:ind w:firstLine="422"/>
              <w:jc w:val="both"/>
            </w:pPr>
            <w:r>
              <w:rPr>
                <w:rFonts w:ascii="仿宋_GB2312" w:hAnsi="仿宋_GB2312" w:cs="仿宋_GB2312" w:eastAsia="仿宋_GB2312"/>
                <w:sz w:val="21"/>
                <w:b/>
              </w:rPr>
              <w:t>二、发现意义</w:t>
            </w:r>
          </w:p>
          <w:p>
            <w:pPr>
              <w:pStyle w:val="null3"/>
              <w:ind w:firstLine="420"/>
              <w:jc w:val="both"/>
            </w:pPr>
            <w:r>
              <w:rPr>
                <w:rFonts w:ascii="仿宋_GB2312" w:hAnsi="仿宋_GB2312" w:cs="仿宋_GB2312" w:eastAsia="仿宋_GB2312"/>
                <w:sz w:val="21"/>
              </w:rPr>
              <w:t>近年来在周宋村南部，我院发掘</w:t>
            </w:r>
            <w:r>
              <w:rPr>
                <w:rFonts w:ascii="仿宋_GB2312" w:hAnsi="仿宋_GB2312" w:cs="仿宋_GB2312" w:eastAsia="仿宋_GB2312"/>
                <w:sz w:val="21"/>
              </w:rPr>
              <w:t>3个地块中均有仰韶晚期遗址发现。其应属于古皂河流域下游新发现的遗址，可以称之为周宋遗址。周宋遗址沿河流两岸呈条带形分布，与以往常见的圆形聚落不同，为研究史前聚落布局提供了新材料。</w:t>
            </w:r>
          </w:p>
          <w:p>
            <w:pPr>
              <w:pStyle w:val="null3"/>
              <w:ind w:firstLine="422"/>
              <w:jc w:val="both"/>
            </w:pPr>
            <w:r>
              <w:rPr>
                <w:rFonts w:ascii="仿宋_GB2312" w:hAnsi="仿宋_GB2312" w:cs="仿宋_GB2312" w:eastAsia="仿宋_GB2312"/>
                <w:sz w:val="21"/>
                <w:b/>
              </w:rPr>
              <w:t>三、项目可行性与目标</w:t>
            </w:r>
          </w:p>
          <w:p>
            <w:pPr>
              <w:pStyle w:val="null3"/>
              <w:ind w:firstLine="420"/>
              <w:jc w:val="both"/>
            </w:pPr>
            <w:r>
              <w:rPr>
                <w:rFonts w:ascii="仿宋_GB2312" w:hAnsi="仿宋_GB2312" w:cs="仿宋_GB2312" w:eastAsia="仿宋_GB2312"/>
                <w:sz w:val="21"/>
              </w:rPr>
              <w:t>周宋遗址共采集遗迹土样</w:t>
            </w:r>
            <w:r>
              <w:rPr>
                <w:rFonts w:ascii="仿宋_GB2312" w:hAnsi="仿宋_GB2312" w:cs="仿宋_GB2312" w:eastAsia="仿宋_GB2312"/>
                <w:sz w:val="21"/>
              </w:rPr>
              <w:t>270余份，动物骨骼标本20余份。为了解遗址的古环境，进一步研究古人类生业经济的发展变化等问题，拟对提取的动、植物标本整理，进行种属等鉴定分析，以及测年、碳氮同位素等科技分析，提供研究的基础资料。</w:t>
            </w:r>
          </w:p>
          <w:p>
            <w:pPr>
              <w:pStyle w:val="null3"/>
              <w:ind w:firstLine="422"/>
              <w:jc w:val="both"/>
            </w:pPr>
            <w:r>
              <w:rPr>
                <w:rFonts w:ascii="仿宋_GB2312" w:hAnsi="仿宋_GB2312" w:cs="仿宋_GB2312" w:eastAsia="仿宋_GB2312"/>
                <w:sz w:val="21"/>
                <w:b/>
              </w:rPr>
              <w:t>四、测试分析项目与具体参数</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1）参数指标</w:t>
            </w:r>
          </w:p>
          <w:tbl>
            <w:tblPr>
              <w:tblBorders>
                <w:top w:val="none" w:color="000000" w:sz="4"/>
                <w:left w:val="none" w:color="000000" w:sz="4"/>
                <w:bottom w:val="none" w:color="000000" w:sz="4"/>
                <w:right w:val="none" w:color="000000" w:sz="4"/>
                <w:insideH w:val="none"/>
                <w:insideV w:val="none"/>
              </w:tblBorders>
            </w:tblPr>
            <w:tblGrid>
              <w:gridCol w:w="244"/>
              <w:gridCol w:w="380"/>
              <w:gridCol w:w="1928"/>
            </w:tblGrid>
            <w:tr>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测试项目</w:t>
                  </w:r>
                </w:p>
              </w:tc>
              <w:tc>
                <w:tcPr>
                  <w:tcW w:type="dxa" w:w="19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参数</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植物标本整理</w:t>
                  </w:r>
                </w:p>
              </w:tc>
              <w:tc>
                <w:tcPr>
                  <w:tcW w:type="dxa" w:w="1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依据《田野考古工作规程（</w:t>
                  </w:r>
                  <w:r>
                    <w:rPr>
                      <w:rFonts w:ascii="仿宋_GB2312" w:hAnsi="仿宋_GB2312" w:cs="仿宋_GB2312" w:eastAsia="仿宋_GB2312"/>
                      <w:sz w:val="21"/>
                    </w:rPr>
                    <w:t>2009）》《植物考古学》等相关要求，对遗址提取的土样进行浮选法筛选植物遗存。浮选法是植物考古研究中的基础技术，包括科学的土样采集、水洗、拣选、观察等一系列工作方法。</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植物标本鉴定</w:t>
                  </w:r>
                </w:p>
              </w:tc>
              <w:tc>
                <w:tcPr>
                  <w:tcW w:type="dxa" w:w="1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使用偏光显微镜、手持显微镜、立体显微镜、超景深显微镜等设备，采用植硅体分析法，是以从土壤中提取的植硅体，并根据不同植物细胞形态不同，产生的植硅体形态也不同，从而鉴定植物的方法。</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动物标本整理</w:t>
                  </w:r>
                </w:p>
              </w:tc>
              <w:tc>
                <w:tcPr>
                  <w:tcW w:type="dxa" w:w="1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依据《田野考古工作规程（</w:t>
                  </w:r>
                  <w:r>
                    <w:rPr>
                      <w:rFonts w:ascii="仿宋_GB2312" w:hAnsi="仿宋_GB2312" w:cs="仿宋_GB2312" w:eastAsia="仿宋_GB2312"/>
                      <w:sz w:val="21"/>
                    </w:rPr>
                    <w:t>2009）》《中国动物考古学》等相关要求，对遗址出土的动物骨骼进行采集。并依照遗迹单位对采集的骨骼标本进行分类、清洗、拼对、记录等工作，为开展后续鉴定工作奠定基础。</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动物标本鉴定</w:t>
                  </w:r>
                </w:p>
              </w:tc>
              <w:tc>
                <w:tcPr>
                  <w:tcW w:type="dxa" w:w="1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通过与动物骨骼图谱、三维骨骼模型、古代和现代动物骨骼标本进行比对，确定动物种属、骨骼部位、骨骼侧别。对保存较为完整的标本，根据骨骺愈合、牙齿萌出与磨蚀等信息进一步判断动物的死亡年龄和性别。依据《考古遗址出土动物骨骼测量指南》使用游标卡尺对标本进行测量，并对骨骼表面的风化、动物痕迹、人工痕迹和异常现象进行观察和记录。对上述原始数据进行定量统计，产生</w:t>
                  </w:r>
                  <w:r>
                    <w:rPr>
                      <w:rFonts w:ascii="仿宋_GB2312" w:hAnsi="仿宋_GB2312" w:cs="仿宋_GB2312" w:eastAsia="仿宋_GB2312"/>
                      <w:sz w:val="21"/>
                    </w:rPr>
                    <w:t>NISP、MNI、死亡率等衍生数据。</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碳十四测年</w:t>
                  </w:r>
                </w:p>
              </w:tc>
              <w:tc>
                <w:tcPr>
                  <w:tcW w:type="dxa" w:w="1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通过碳十四测年技术，确定部分遗迹的绝对年代，既可解决遗址断代问题，也可助力考古学相关研究。</w:t>
                  </w:r>
                  <w:r>
                    <w:rPr>
                      <w:rFonts w:ascii="仿宋_GB2312" w:hAnsi="仿宋_GB2312" w:cs="仿宋_GB2312" w:eastAsia="仿宋_GB2312"/>
                      <w:sz w:val="21"/>
                      <w:color w:val="000000"/>
                    </w:rPr>
                    <w:t>主要运用加速器碳十四（</w:t>
                  </w:r>
                  <w:r>
                    <w:rPr>
                      <w:rFonts w:ascii="仿宋_GB2312" w:hAnsi="仿宋_GB2312" w:cs="仿宋_GB2312" w:eastAsia="仿宋_GB2312"/>
                      <w:sz w:val="21"/>
                      <w:color w:val="000000"/>
                    </w:rPr>
                    <w:t>AMS-14C）方法来进行年代测定。以骨胶原作为C14测年样品，利用加速器质谱仪测试样品的C14数据，并以树轮年代校正曲线对数据进行校准，得到样品的年代范围。</w:t>
                  </w:r>
                  <w:r>
                    <w:rPr>
                      <w:rFonts w:ascii="仿宋_GB2312" w:hAnsi="仿宋_GB2312" w:cs="仿宋_GB2312" w:eastAsia="仿宋_GB2312"/>
                      <w:sz w:val="21"/>
                    </w:rPr>
                    <w:t>分析仪器为多核素加速器质谱仪。主要参数指标：</w:t>
                  </w:r>
                </w:p>
                <w:p>
                  <w:pPr>
                    <w:pStyle w:val="null3"/>
                    <w:jc w:val="both"/>
                  </w:pPr>
                  <w:r>
                    <w:rPr>
                      <w:rFonts w:ascii="仿宋_GB2312" w:hAnsi="仿宋_GB2312" w:cs="仿宋_GB2312" w:eastAsia="仿宋_GB2312"/>
                      <w:sz w:val="21"/>
                    </w:rPr>
                    <w:t>1.精度：优于2‰；</w:t>
                  </w:r>
                </w:p>
                <w:p>
                  <w:pPr>
                    <w:pStyle w:val="null3"/>
                    <w:jc w:val="both"/>
                  </w:pPr>
                  <w:r>
                    <w:rPr>
                      <w:rFonts w:ascii="仿宋_GB2312" w:hAnsi="仿宋_GB2312" w:cs="仿宋_GB2312" w:eastAsia="仿宋_GB2312"/>
                      <w:sz w:val="21"/>
                    </w:rPr>
                    <w:t>2.本底≥5万年</w:t>
                  </w:r>
                </w:p>
                <w:p>
                  <w:pPr>
                    <w:pStyle w:val="null3"/>
                    <w:jc w:val="both"/>
                  </w:pPr>
                  <w:r>
                    <w:rPr>
                      <w:rFonts w:ascii="仿宋_GB2312" w:hAnsi="仿宋_GB2312" w:cs="仿宋_GB2312" w:eastAsia="仿宋_GB2312"/>
                      <w:sz w:val="21"/>
                    </w:rPr>
                    <w:t>3.样品量：10μg-1mg</w:t>
                  </w:r>
                </w:p>
              </w:tc>
            </w:tr>
            <w:tr>
              <w:tc>
                <w:tcPr>
                  <w:tcW w:type="dxa" w:w="2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碳同位素</w:t>
                  </w:r>
                </w:p>
              </w:tc>
              <w:tc>
                <w:tcPr>
                  <w:tcW w:type="dxa" w:w="19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选取保存较好的四肢骨为样品并去除骨骼表面污染，提取骨骼的骨胶原，然后用同位素质谱仪对每个样品的骨胶原进行</w:t>
                  </w:r>
                  <w:r>
                    <w:rPr>
                      <w:rFonts w:ascii="仿宋_GB2312" w:hAnsi="仿宋_GB2312" w:cs="仿宋_GB2312" w:eastAsia="仿宋_GB2312"/>
                      <w:sz w:val="21"/>
                    </w:rPr>
                    <w:t>C、N同位素比率测定。</w:t>
                  </w:r>
                </w:p>
                <w:p>
                  <w:pPr>
                    <w:pStyle w:val="null3"/>
                    <w:ind w:firstLine="422"/>
                    <w:jc w:val="both"/>
                  </w:pPr>
                  <w:r>
                    <w:rPr>
                      <w:rFonts w:ascii="仿宋_GB2312" w:hAnsi="仿宋_GB2312" w:cs="仿宋_GB2312" w:eastAsia="仿宋_GB2312"/>
                      <w:sz w:val="21"/>
                      <w:b/>
                    </w:rPr>
                    <w:t>碳、氮同位素</w:t>
                  </w:r>
                  <w:r>
                    <w:rPr>
                      <w:rFonts w:ascii="仿宋_GB2312" w:hAnsi="仿宋_GB2312" w:cs="仿宋_GB2312" w:eastAsia="仿宋_GB2312"/>
                      <w:sz w:val="21"/>
                    </w:rPr>
                    <w:t>分析仪器是稳定同位素比值质谱仪和元素分析仪。主要参数指标：</w:t>
                  </w:r>
                </w:p>
                <w:p>
                  <w:pPr>
                    <w:pStyle w:val="null3"/>
                    <w:ind w:firstLine="420"/>
                    <w:jc w:val="both"/>
                  </w:pPr>
                  <w:r>
                    <w:rPr>
                      <w:rFonts w:ascii="仿宋_GB2312" w:hAnsi="仿宋_GB2312" w:cs="仿宋_GB2312" w:eastAsia="仿宋_GB2312"/>
                      <w:sz w:val="21"/>
                    </w:rPr>
                    <w:t>1.精度：≤0.2‰；</w:t>
                  </w:r>
                </w:p>
                <w:p>
                  <w:pPr>
                    <w:pStyle w:val="null3"/>
                    <w:ind w:firstLine="420"/>
                    <w:jc w:val="both"/>
                  </w:pPr>
                  <w:r>
                    <w:rPr>
                      <w:rFonts w:ascii="仿宋_GB2312" w:hAnsi="仿宋_GB2312" w:cs="仿宋_GB2312" w:eastAsia="仿宋_GB2312"/>
                      <w:sz w:val="21"/>
                    </w:rPr>
                    <w:t>2.检出限：300μg-500μg；</w:t>
                  </w:r>
                </w:p>
                <w:p>
                  <w:pPr>
                    <w:pStyle w:val="null3"/>
                    <w:ind w:firstLine="420"/>
                    <w:jc w:val="both"/>
                  </w:pPr>
                  <w:r>
                    <w:rPr>
                      <w:rFonts w:ascii="仿宋_GB2312" w:hAnsi="仿宋_GB2312" w:cs="仿宋_GB2312" w:eastAsia="仿宋_GB2312"/>
                      <w:sz w:val="21"/>
                    </w:rPr>
                    <w:t>3.标样：至少2种国际标准样品进行标定。</w:t>
                  </w:r>
                </w:p>
              </w:tc>
            </w:tr>
            <w:tr>
              <w:tc>
                <w:tcPr>
                  <w:tcW w:type="dxa" w:w="244"/>
                  <w:vMerge/>
                  <w:tcBorders>
                    <w:top w:val="none" w:color="000000" w:sz="4"/>
                    <w:left w:val="single" w:color="000000" w:sz="4"/>
                    <w:bottom w:val="single" w:color="000000" w:sz="4"/>
                    <w:right w:val="single" w:color="000000" w:sz="4"/>
                  </w:tcBorders>
                </w:tcP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氮同位素</w:t>
                  </w:r>
                </w:p>
              </w:tc>
              <w:tc>
                <w:tcPr>
                  <w:tcW w:type="dxa" w:w="1928"/>
                  <w:vMerge/>
                  <w:tcBorders>
                    <w:top w:val="none" w:color="000000" w:sz="4"/>
                    <w:left w:val="single" w:color="000000" w:sz="4"/>
                    <w:bottom w:val="single" w:color="000000" w:sz="4"/>
                    <w:right w:val="single" w:color="000000" w:sz="4"/>
                  </w:tcBorders>
                </w:tcPr>
                <w:p/>
              </w:tc>
            </w:tr>
          </w:tbl>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2）测试样本量：</w:t>
            </w:r>
          </w:p>
          <w:p>
            <w:pPr>
              <w:pStyle w:val="null3"/>
              <w:ind w:firstLine="420"/>
              <w:jc w:val="both"/>
            </w:pPr>
            <w:r>
              <w:rPr>
                <w:rFonts w:ascii="仿宋_GB2312" w:hAnsi="仿宋_GB2312" w:cs="仿宋_GB2312" w:eastAsia="仿宋_GB2312"/>
                <w:sz w:val="21"/>
              </w:rPr>
              <w:t>植物标本浮选：</w:t>
            </w:r>
            <w:r>
              <w:rPr>
                <w:rFonts w:ascii="仿宋_GB2312" w:hAnsi="仿宋_GB2312" w:cs="仿宋_GB2312" w:eastAsia="仿宋_GB2312"/>
                <w:sz w:val="21"/>
              </w:rPr>
              <w:t>270个标本</w:t>
            </w:r>
          </w:p>
          <w:p>
            <w:pPr>
              <w:pStyle w:val="null3"/>
              <w:ind w:firstLine="420"/>
              <w:jc w:val="both"/>
            </w:pPr>
            <w:r>
              <w:rPr>
                <w:rFonts w:ascii="仿宋_GB2312" w:hAnsi="仿宋_GB2312" w:cs="仿宋_GB2312" w:eastAsia="仿宋_GB2312"/>
                <w:sz w:val="21"/>
              </w:rPr>
              <w:t>植物植硅体鉴定：</w:t>
            </w:r>
            <w:r>
              <w:rPr>
                <w:rFonts w:ascii="仿宋_GB2312" w:hAnsi="仿宋_GB2312" w:cs="仿宋_GB2312" w:eastAsia="仿宋_GB2312"/>
                <w:sz w:val="21"/>
              </w:rPr>
              <w:t>270个标本</w:t>
            </w:r>
          </w:p>
          <w:p>
            <w:pPr>
              <w:pStyle w:val="null3"/>
              <w:ind w:firstLine="420"/>
              <w:jc w:val="both"/>
            </w:pPr>
            <w:r>
              <w:rPr>
                <w:rFonts w:ascii="仿宋_GB2312" w:hAnsi="仿宋_GB2312" w:cs="仿宋_GB2312" w:eastAsia="仿宋_GB2312"/>
                <w:sz w:val="21"/>
              </w:rPr>
              <w:t>动物标本整理：</w:t>
            </w:r>
            <w:r>
              <w:rPr>
                <w:rFonts w:ascii="仿宋_GB2312" w:hAnsi="仿宋_GB2312" w:cs="仿宋_GB2312" w:eastAsia="仿宋_GB2312"/>
                <w:sz w:val="21"/>
              </w:rPr>
              <w:t>20个样本</w:t>
            </w:r>
          </w:p>
          <w:p>
            <w:pPr>
              <w:pStyle w:val="null3"/>
              <w:ind w:firstLine="420"/>
              <w:jc w:val="both"/>
            </w:pPr>
            <w:r>
              <w:rPr>
                <w:rFonts w:ascii="仿宋_GB2312" w:hAnsi="仿宋_GB2312" w:cs="仿宋_GB2312" w:eastAsia="仿宋_GB2312"/>
                <w:sz w:val="21"/>
              </w:rPr>
              <w:t>动物种属鉴定：</w:t>
            </w:r>
            <w:r>
              <w:rPr>
                <w:rFonts w:ascii="仿宋_GB2312" w:hAnsi="仿宋_GB2312" w:cs="仿宋_GB2312" w:eastAsia="仿宋_GB2312"/>
                <w:sz w:val="21"/>
              </w:rPr>
              <w:t>20个样本</w:t>
            </w:r>
          </w:p>
          <w:p>
            <w:pPr>
              <w:pStyle w:val="null3"/>
              <w:ind w:firstLine="420"/>
              <w:jc w:val="both"/>
            </w:pPr>
            <w:r>
              <w:rPr>
                <w:rFonts w:ascii="仿宋_GB2312" w:hAnsi="仿宋_GB2312" w:cs="仿宋_GB2312" w:eastAsia="仿宋_GB2312"/>
                <w:sz w:val="21"/>
              </w:rPr>
              <w:t>碳十四测年：</w:t>
            </w:r>
            <w:r>
              <w:rPr>
                <w:rFonts w:ascii="仿宋_GB2312" w:hAnsi="仿宋_GB2312" w:cs="仿宋_GB2312" w:eastAsia="仿宋_GB2312"/>
                <w:sz w:val="21"/>
              </w:rPr>
              <w:t>10个样本</w:t>
            </w:r>
          </w:p>
          <w:p>
            <w:pPr>
              <w:pStyle w:val="null3"/>
              <w:ind w:firstLine="420"/>
              <w:jc w:val="both"/>
            </w:pPr>
            <w:r>
              <w:rPr>
                <w:rFonts w:ascii="仿宋_GB2312" w:hAnsi="仿宋_GB2312" w:cs="仿宋_GB2312" w:eastAsia="仿宋_GB2312"/>
                <w:sz w:val="21"/>
              </w:rPr>
              <w:t>碳、氮同位素：</w:t>
            </w:r>
            <w:r>
              <w:rPr>
                <w:rFonts w:ascii="仿宋_GB2312" w:hAnsi="仿宋_GB2312" w:cs="仿宋_GB2312" w:eastAsia="仿宋_GB2312"/>
                <w:sz w:val="21"/>
              </w:rPr>
              <w:t>20个样本</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标的名称：DNA谱系测试分析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1"/>
                <w:b/>
              </w:rPr>
              <w:t>北城村墓地出土人骨古</w:t>
            </w:r>
            <w:r>
              <w:rPr>
                <w:rFonts w:ascii="仿宋_GB2312" w:hAnsi="仿宋_GB2312" w:cs="仿宋_GB2312" w:eastAsia="仿宋_GB2312"/>
                <w:sz w:val="21"/>
                <w:b/>
              </w:rPr>
              <w:t>DNA谱系测试分析采购参数</w:t>
            </w:r>
          </w:p>
          <w:p>
            <w:pPr>
              <w:pStyle w:val="null3"/>
              <w:ind w:firstLine="420"/>
              <w:jc w:val="both"/>
            </w:pPr>
            <w:r>
              <w:rPr>
                <w:rFonts w:ascii="仿宋_GB2312" w:hAnsi="仿宋_GB2312" w:cs="仿宋_GB2312" w:eastAsia="仿宋_GB2312"/>
                <w:sz w:val="21"/>
                <w:b/>
              </w:rPr>
              <w:t>一、项目背景</w:t>
            </w:r>
          </w:p>
          <w:p>
            <w:pPr>
              <w:pStyle w:val="null3"/>
              <w:ind w:firstLine="420"/>
              <w:jc w:val="both"/>
            </w:pPr>
            <w:r>
              <w:rPr>
                <w:rFonts w:ascii="仿宋_GB2312" w:hAnsi="仿宋_GB2312" w:cs="仿宋_GB2312" w:eastAsia="仿宋_GB2312"/>
                <w:sz w:val="21"/>
              </w:rPr>
              <w:t>北城村墓地遗址位于陕西省西咸新区空港新城自贸大道以东、北杜大街以北，北杜北街以南的北杜街道北城村（原咸阳市渭城区北杜街道办北城村）原村址。墓地南距汉哀帝义陵</w:t>
            </w:r>
            <w:r>
              <w:rPr>
                <w:rFonts w:ascii="仿宋_GB2312" w:hAnsi="仿宋_GB2312" w:cs="仿宋_GB2312" w:eastAsia="仿宋_GB2312"/>
                <w:sz w:val="21"/>
              </w:rPr>
              <w:t>8.2公里，东南距长安城遗址约21公里。墓地所处区域位于洪渎原（北周时称石安原）中心区域。当前，北城村墓地考古工作已取得极大进展，但是仍存在一些亟待解决的问题，通过古DNA谱系分析研究深入剖析墓葬包括墓主人遗传信息、面貌特征、陪葬品生物信息等，可以为复原历史提供重要支撑。</w:t>
            </w:r>
          </w:p>
          <w:p>
            <w:pPr>
              <w:pStyle w:val="null3"/>
              <w:ind w:firstLine="420"/>
              <w:jc w:val="both"/>
            </w:pPr>
            <w:r>
              <w:rPr>
                <w:rFonts w:ascii="仿宋_GB2312" w:hAnsi="仿宋_GB2312" w:cs="仿宋_GB2312" w:eastAsia="仿宋_GB2312"/>
                <w:sz w:val="21"/>
                <w:b/>
              </w:rPr>
              <w:t>二、研究目标与相关参数要求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1）研究目标</w:t>
            </w:r>
          </w:p>
          <w:p>
            <w:pPr>
              <w:pStyle w:val="null3"/>
              <w:ind w:firstLine="420"/>
              <w:jc w:val="both"/>
            </w:pPr>
            <w:r>
              <w:rPr>
                <w:rFonts w:ascii="仿宋_GB2312" w:hAnsi="仿宋_GB2312" w:cs="仿宋_GB2312" w:eastAsia="仿宋_GB2312"/>
                <w:sz w:val="21"/>
              </w:rPr>
              <w:t>DNA研究利用分子生物学技术，从古代生物遗存中获取DNA序列，然后运用系统发育分析、多维尺度分析、主成分分析和群体遗传学分析等方法进行分析，研究人类的起源、演化、发展与迁徙，古代人类的性别鉴定、母系和父系血缘追踪，群体之间的遗传关系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2）参数指标</w:t>
            </w:r>
          </w:p>
          <w:p>
            <w:pPr>
              <w:pStyle w:val="null3"/>
              <w:ind w:firstLine="420"/>
              <w:jc w:val="both"/>
            </w:pPr>
            <w:r>
              <w:rPr>
                <w:rFonts w:ascii="仿宋_GB2312" w:hAnsi="仿宋_GB2312" w:cs="仿宋_GB2312" w:eastAsia="仿宋_GB2312"/>
                <w:sz w:val="21"/>
              </w:rPr>
              <w:t>为更好地开展对北城村墓地遗址的研究，拟对该遗址人骨进行分子考古分析。具体来说：</w:t>
            </w:r>
          </w:p>
          <w:p>
            <w:pPr>
              <w:pStyle w:val="null3"/>
              <w:ind w:firstLine="420"/>
              <w:jc w:val="both"/>
            </w:pPr>
            <w:r>
              <w:rPr>
                <w:rFonts w:ascii="仿宋_GB2312" w:hAnsi="仿宋_GB2312" w:cs="仿宋_GB2312" w:eastAsia="仿宋_GB2312"/>
                <w:sz w:val="21"/>
              </w:rPr>
              <w:t>分子考古研究主要包括对出土人骨</w:t>
            </w:r>
            <w:r>
              <w:rPr>
                <w:rFonts w:ascii="仿宋_GB2312" w:hAnsi="仿宋_GB2312" w:cs="仿宋_GB2312" w:eastAsia="仿宋_GB2312"/>
                <w:sz w:val="21"/>
              </w:rPr>
              <w:t>DNA的分析。在实验技术上，实验室应熟练掌握并运用包括古DNA的提取、双链文库构建、单链文库构建、1240K液相探针捕获等一系列的实验技术，可满足各种保存环境下的古代样本的DNA实验。在仪器设备上，实验室应配备全自动DNA提取仪、自动化样本制备工作站、高通量基因测序仪、专用服务器等相关设备，可满足高通量的古基因组数据的分析，构建人群的遗传谱系和亲缘关系。</w:t>
            </w:r>
          </w:p>
          <w:p>
            <w:pPr>
              <w:pStyle w:val="null3"/>
              <w:ind w:firstLine="420"/>
              <w:jc w:val="both"/>
            </w:pPr>
            <w:r>
              <w:rPr>
                <w:rFonts w:ascii="仿宋_GB2312" w:hAnsi="仿宋_GB2312" w:cs="仿宋_GB2312" w:eastAsia="仿宋_GB2312"/>
                <w:sz w:val="21"/>
              </w:rPr>
              <w:t>技术路径：通过提取、文库构建、捕获和上机测序获取高质量的</w:t>
            </w:r>
            <w:r>
              <w:rPr>
                <w:rFonts w:ascii="仿宋_GB2312" w:hAnsi="仿宋_GB2312" w:cs="仿宋_GB2312" w:eastAsia="仿宋_GB2312"/>
                <w:sz w:val="21"/>
              </w:rPr>
              <w:t>DNA数据，与数据库进行比对，可以更精确的判定古代人群种属和推断族源。</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3）测试样本量：15个</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供应商应组建专业的服务团队，负责对项目实施过程的控制及管理，明确项目负责人及技术人员。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供应商应组建专业的服务团队，负责对项目实施过程的控制及管理，明确项目负责人及技术人员。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供应商应配置履行服务所需的设施设备，以便提高服务质量及效率。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供应商应配置履行服务所需的设施设备，以便提高服务质量及效率。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合同签订后24个月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合同签订后24个月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合同签订后，乙方应开具增值税发票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工作内容完成，完成相关手续，经过甲方审核通过之后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合同签订后，乙方应开具增值税发票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工作内容完成，完成相关手续，经过甲方审核通过之后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采购标的所属行业为其他未列明行业。从业人员300人以下的为中小微型企业。其中，从业人员100人及以上的为中型企业；从业人员10人及以上的为小型企业；从业人员10人以下的为微型企业。2.为保障政府采购电子化交易平台项目实施，供应商需要在线提交所有通过电子化交易平台实施的政府采购项目的响应文件，成交供应商在中标（成交）结果公示期结束后须向采购人及代理机构提交纸质版响应文件正本1套、副本1套、电子版(U盘1份）。纸质响应文件应与电子响应文件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资格证明：企业响应的提供营业执照；事业单位响应的提供事业单位法人证书；其他组织响应的提供登记证书；个体工商户响应的提供个体工商户营业执照；自然人响应的提供身份证。（2）法定代表人或授权代表身份证明：法定代表人（负责人）参加磋商的提供法定代表人（负责人）身份证明及身份证；授权代表参加磋商的提供授权委托书及授权代表身份证。（3）税收缴纳证明：供应商自磋商前1年内已缴纳任意时段、任意税种凭证或税务机关开具的完税证明；依法免税的应提供相关文件证明。（4）社保资金缴纳证明：供应商自磋商前1年内已缴存的任意时段的社会保障资金缴存单据或社保机构开具的社会保险参保缴费情况证明；依法不需要缴纳社会保障资金的应提供相关文件证明。（5）供应商具备履行合同所必需的设备和专业技术能力的证明。（6）磋商响应声明书：供应商参加本次采购活动3年内，在经营活动中没有重大违法记录以及未被列入失信被执行人、重大税收违法案件当事人名单、政府采购严重违法失信行为记录名单的书面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2023年或2024年度经审计的财务报告（包括“四表一注”即《资产负债表》《利润表》《现金流量表》《所有者权益变动表》及其附注）或者提供响应文件递交截止时间6个月内其基本账户开户银行出具的资信证明；供应商成立不到1年的，可提供企业任意时段财务报表；供应商为公益类事业单位或者自然人的无需提供。供应商需在项目电子化交易系统中按要求填写《响应函》完成承诺后，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资格证明：企业响应的提供营业执照；事业单位响应的提供事业单位法人证书；其他组织响应的提供登记证书；个体工商户响应的提供个体工商户营业执照；自然人响应的提供身份证。（2）法定代表人或授权代表身份证明：法定代表人（负责人）参加磋商的提供法定代表人（负责人）身份证明及身份证；授权代表参加磋商的提供授权委托书及授权代表身份证。（3）税收缴纳证明：供应商自磋商前1年内已缴纳任意时段、任意税种凭证或税务机关开具的完税证明；依法免税的应提供相关文件证明。（4）社保资金缴纳证明：供应商自磋商前1年内已缴存的任意时段的社会保障资金缴存单据或社保机构开具的社会保险参保缴费情况证明；依法不需要缴纳社会保障资金的应提供相关文件证明。（5）供应商具备履行合同所必需的设备和专业技术能力的证明。（6）磋商响应声明书：供应商参加本次采购活动3年内，在经营活动中没有重大违法记录以及未被列入失信被执行人、重大税收违法案件当事人名单、政府采购严重违法失信行为记录名单的书面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2023年或2024年度经审计的财务报告（包括“四表一注”即《资产负债表》《利润表》《现金流量表》《所有者权益变动表》及其附注）或者提供响应文件递交截止时间6个月内其基本账户开户银行出具的资信证明；供应商成立不到1年的，可提供企业任意时段财务报表；供应商为公益类事业单位或者自然人的无需提供。供应商需在项目电子化交易系统中按要求填写《响应函》完成承诺后，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按磋商文件要求签署、盖章</w:t>
            </w:r>
          </w:p>
        </w:tc>
        <w:tc>
          <w:tcPr>
            <w:tcW w:type="dxa" w:w="1661"/>
          </w:tcPr>
          <w:p>
            <w:pPr>
              <w:pStyle w:val="null3"/>
            </w:pPr>
            <w:r>
              <w:rPr>
                <w:rFonts w:ascii="仿宋_GB2312" w:hAnsi="仿宋_GB2312" w:cs="仿宋_GB2312" w:eastAsia="仿宋_GB2312"/>
              </w:rPr>
              <w:t>响应文件封面 商务技术资料 服务内容及服务邀请应答表 中小企业声明函 残疾人福利性单位声明函 商务应答表 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只能有一个有效报价，不得提交选择性报价，且报价不超过磋商文件规定的采购预算或最高限价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商务技术资料 服务内容及服务邀请应答表 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符合磋商文件实质性要求的规定</w:t>
            </w:r>
          </w:p>
        </w:tc>
        <w:tc>
          <w:tcPr>
            <w:tcW w:type="dxa" w:w="1661"/>
          </w:tcPr>
          <w:p>
            <w:pPr>
              <w:pStyle w:val="null3"/>
            </w:pPr>
            <w:r>
              <w:rPr>
                <w:rFonts w:ascii="仿宋_GB2312" w:hAnsi="仿宋_GB2312" w:cs="仿宋_GB2312" w:eastAsia="仿宋_GB2312"/>
              </w:rPr>
              <w:t>服务内容及服务邀请应答表 商务应答表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权利义务</w:t>
            </w:r>
          </w:p>
        </w:tc>
        <w:tc>
          <w:tcPr>
            <w:tcW w:type="dxa" w:w="3322"/>
          </w:tcPr>
          <w:p>
            <w:pPr>
              <w:pStyle w:val="null3"/>
            </w:pPr>
            <w:r>
              <w:rPr>
                <w:rFonts w:ascii="仿宋_GB2312" w:hAnsi="仿宋_GB2312" w:cs="仿宋_GB2312" w:eastAsia="仿宋_GB2312"/>
              </w:rPr>
              <w:t>符合磋商文件“政府采购合同格式”条款中实质性要求和条件</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按磋商文件要求签署、盖章</w:t>
            </w:r>
          </w:p>
        </w:tc>
        <w:tc>
          <w:tcPr>
            <w:tcW w:type="dxa" w:w="1661"/>
          </w:tcPr>
          <w:p>
            <w:pPr>
              <w:pStyle w:val="null3"/>
            </w:pPr>
            <w:r>
              <w:rPr>
                <w:rFonts w:ascii="仿宋_GB2312" w:hAnsi="仿宋_GB2312" w:cs="仿宋_GB2312" w:eastAsia="仿宋_GB2312"/>
              </w:rPr>
              <w:t>响应文件封面 商务技术资料 服务内容及服务邀请应答表 中小企业声明函 残疾人福利性单位声明函 商务应答表 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只能有一个有效报价，不得提交选择性报价，且报价不超过磋商文件规定的采购预算或最高限价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商务技术资料 服务内容及服务邀请应答表 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符合磋商文件实质性要求的规定</w:t>
            </w:r>
          </w:p>
        </w:tc>
        <w:tc>
          <w:tcPr>
            <w:tcW w:type="dxa" w:w="1661"/>
          </w:tcPr>
          <w:p>
            <w:pPr>
              <w:pStyle w:val="null3"/>
            </w:pPr>
            <w:r>
              <w:rPr>
                <w:rFonts w:ascii="仿宋_GB2312" w:hAnsi="仿宋_GB2312" w:cs="仿宋_GB2312" w:eastAsia="仿宋_GB2312"/>
              </w:rPr>
              <w:t>服务内容及服务邀请应答表 商务应答表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权利义务</w:t>
            </w:r>
          </w:p>
        </w:tc>
        <w:tc>
          <w:tcPr>
            <w:tcW w:type="dxa" w:w="3322"/>
          </w:tcPr>
          <w:p>
            <w:pPr>
              <w:pStyle w:val="null3"/>
            </w:pPr>
            <w:r>
              <w:rPr>
                <w:rFonts w:ascii="仿宋_GB2312" w:hAnsi="仿宋_GB2312" w:cs="仿宋_GB2312" w:eastAsia="仿宋_GB2312"/>
              </w:rPr>
              <w:t>符合磋商文件“政府采购合同格式”条款中实质性要求和条件</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测试分析实施方案</w:t>
            </w:r>
          </w:p>
        </w:tc>
        <w:tc>
          <w:tcPr>
            <w:tcW w:type="dxa" w:w="2492"/>
          </w:tcPr>
          <w:p>
            <w:pPr>
              <w:pStyle w:val="null3"/>
            </w:pPr>
            <w:r>
              <w:rPr>
                <w:rFonts w:ascii="仿宋_GB2312" w:hAnsi="仿宋_GB2312" w:cs="仿宋_GB2312" w:eastAsia="仿宋_GB2312"/>
              </w:rPr>
              <w:t>一、评审内容：供应商根据本项目情况编制测试分析实施方案，包括但不限于对项目的分析理解以及具体的工作流程等，并能保证数据链条的完整性和可靠性。 二、评审标准：1.完整性：内容全面，对评审内容中的各项要求有详细描述；2.可实施性：切合本项目实际情况，提出步骤清晰、合理的方案；3.针对性：方案能够紧扣项目实际情况，内容科学合理。 三、赋分标准：（满分12分） 此评审项满分12分，每完全满足一条评审标准得4分；针对每条评审标准，如存在不合理的方面扣2分；针对每条评审标准，方案内容与本项目无关或未提供的，得0分。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项目重难点分析</w:t>
            </w:r>
          </w:p>
        </w:tc>
        <w:tc>
          <w:tcPr>
            <w:tcW w:type="dxa" w:w="2492"/>
          </w:tcPr>
          <w:p>
            <w:pPr>
              <w:pStyle w:val="null3"/>
            </w:pPr>
            <w:r>
              <w:rPr>
                <w:rFonts w:ascii="仿宋_GB2312" w:hAnsi="仿宋_GB2312" w:cs="仿宋_GB2312" w:eastAsia="仿宋_GB2312"/>
              </w:rPr>
              <w:t>一、评审内容：供应商能充分结合项目特点提出重难点分析，并能对重难点提出针对性的解决措施。 二、评审标准：1.完整性：内容全面，对评审内容中的各项要求有详细描述；2.可实施性：切合本项目实际情况，提出步骤清晰、合理的方案；3.针对性：方案能够紧扣项目实际情况，内容科学合理。 三、赋分标准：（满分9分） 此评审项满分9分，每完全满足一条评审标准得3分；针对每条评审标准，如存在不合理的方面扣1.5分；针对每条评审标准，方案内容与本项目无关或未提供的，得0分。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进度计划保证措施</w:t>
            </w:r>
          </w:p>
        </w:tc>
        <w:tc>
          <w:tcPr>
            <w:tcW w:type="dxa" w:w="2492"/>
          </w:tcPr>
          <w:p>
            <w:pPr>
              <w:pStyle w:val="null3"/>
            </w:pPr>
            <w:r>
              <w:rPr>
                <w:rFonts w:ascii="仿宋_GB2312" w:hAnsi="仿宋_GB2312" w:cs="仿宋_GB2312" w:eastAsia="仿宋_GB2312"/>
              </w:rPr>
              <w:t>一、评审内容：供应商针对本项目具有明确可行的进度计划，包括但不限于检测分析以及报告递交采购人的时间，提供相应的保证措施。 二、评审标准：1.完整性：内容全面，对评审内容中的各项要求有详细描述；2.可实施性：切合本项目实际情况，提出步骤清晰、合理的方案；3.针对性：方案能够紧扣项目实际情况，内容科学合理。 三、赋分标准：（满分9分） 此评审项满分9分，每完全满足一条评审标准得3分；针对每条评审标准，如存在不合理的方面扣1.5分；针对每条评审标准，方案内容与本项目无关或未提供的，得0分。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文物安全保障方案</w:t>
            </w:r>
          </w:p>
        </w:tc>
        <w:tc>
          <w:tcPr>
            <w:tcW w:type="dxa" w:w="2492"/>
          </w:tcPr>
          <w:p>
            <w:pPr>
              <w:pStyle w:val="null3"/>
            </w:pPr>
            <w:r>
              <w:rPr>
                <w:rFonts w:ascii="仿宋_GB2312" w:hAnsi="仿宋_GB2312" w:cs="仿宋_GB2312" w:eastAsia="仿宋_GB2312"/>
              </w:rPr>
              <w:t>一、评审内容：供应商针对本项目有具体可行的文物安全保障方案，包括但不限于文物样品的日常保存以及测试过程的安全保障措施等。 二、评审标准：1.完整性：内容全面，对评审内容中的各项要求有详细描述；2.可实施性：切合本项目实际情况，提出步骤清晰、合理的方案；3.针对性：方案能够紧扣项目实际情况，内容科学合理。 三、赋分标准：（满分9分） 此评审项满分9分，每完全满足一条评审标准得3分；针对每条评审标准，如存在不合理的方面扣1.5分；针对每条评审标准，方案内容与本项目无关或未提供的，得0分。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内容：供应商根据本项目情况编制服务质量保障措施：有规范的、合理的服务流程，每个流程环节有质量控制办法，对项目执行过程中的服务质量、技术保证有明确说明。供应商切合实际，能充分利用自身资源及相关技术手段保证成果文件质量要求。 二、评审标准：1.完整性：内容全面，对评审内容中的各项要求有详细描述；2.可实施性：切合本项目实际情况，实施步骤清晰、合理；3.针对性：方案能够紧扣项目实际情况，内容科学合理。 三、赋分标准：（满分9分） 此评审项满分9分，每完全满足一条评审标准得3分；针对每条评审标准，如存在不合理的方面，扣1.5分；针对每条评审标准，方案内容与本项目无关或未提供的，得0分。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一、评审内容：供应商根据本项目特点编制保密措施方案，有相应的保障细则，内容包含：①保密承诺事项②保密实施方案③保密工作规则要求等。 二、评审标准：1.完整性：内容全面，对评审内容中的各项要求有详细描述；2.可实施性：切合本项目实际情况，提出步骤清晰、合理的方案；3.针对性：方案能够紧扣项目实际情况，内容科学合理。 三、赋分标准：（满分9分） 此评审项满分9分，每完全满足一条评审标准得3分；针对每条评审标准，如存在不合理的方面扣1.5分；针对每条评审标准，方案内容与本项目无关或未提供的，得0分。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一、评审内容：供应商针对本项目提供服务承诺，包括但不限于①对本项目进度、时限、测试分析成果文件质量等做出承诺。②对服务时限内团队稳定性、人员到位情况等相关内容做出承诺。 二、评审标准：1.完整性：内容全面，对评审内容中的各项要求有详细描述；2.可实施性：切合本项目实际情况，提出步骤清晰、合理的方案；3.针对性：方案能够紧扣项目实际情况，内容科学合理。 三、赋分标准：（满分12分） ①对本项目进度、时限、测试分析成果文件质量等做出承诺：此评审项满分6分，每完全满足一条评审标准得2分；针对每条评审标准，如存在不合理的方面扣1分；针对每条评审标准，方案内容与本项目无关或未提供的，得0分。②对服务时限内团队稳定性、人员到位情况等相关内容做出承诺：此评审项满分6分，每完全满足一条评审标准得2分；针对每条评审标准，如存在不合理的方面扣1分；针对每条评审标准，方案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一、评审内容：供应商针对本项目有专业的服务团队，包括但不限于①项目负责人②技术服务人员等。 二、赋分标准：（满分6分） 评审内容中各项人员配备数量充足，组织结构合理，人员分工明确，各专业配置齐全，完全满足项目实施需求得6分；人员配备数量充足，专业人员配备能够基本满足项目实施需要，分工有一定的合理性，基本能满足项目需求得4分；人员配备数量较充足、专业配置基本能够满足项目实施需要但分工不明确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一、评审内容：提供供应商2021年1月1日至今类似项目的业绩证明（时间以合同签订时间为准）。 二、赋分标准：（满分10分） 一个业绩得2分，最高10分。供应商需提供完整的业绩合同复印件并加盖公章，未按照要求提供不得分。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商务技术资料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按照财政部财库[2014]214号文件第二十四条和财库[2020]46号文件的规定，采用低价优先法计算，以本次满足磋商文件要求的最低磋商评审价为磋商基准价，其价格为满分。供应商的价格分，统一按照下列公式计算： 磋商评审价=最后报价×（1-报价扣除幅度） 最后报价得分=(磋商基准价／磋商评审价)×100×15%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测试分析实施方案</w:t>
            </w:r>
          </w:p>
        </w:tc>
        <w:tc>
          <w:tcPr>
            <w:tcW w:type="dxa" w:w="2492"/>
          </w:tcPr>
          <w:p>
            <w:pPr>
              <w:pStyle w:val="null3"/>
            </w:pPr>
            <w:r>
              <w:rPr>
                <w:rFonts w:ascii="仿宋_GB2312" w:hAnsi="仿宋_GB2312" w:cs="仿宋_GB2312" w:eastAsia="仿宋_GB2312"/>
              </w:rPr>
              <w:t>一、评审内容：供应商根据本项目情况编制测试分析实施方案，包括但不限于对项目的分析理解以及具体的工作流程等，并能保证数据链条的完整性和可靠性。 二、评审标准：1.完整性：内容全面，对评审内容中的各项要求有详细描述；2.可实施性：切合本项目实际情况，提出步骤清晰、合理的方案；3.针对性：方案能够紧扣项目实际情况，内容科学合理。 三、赋分标准：（满分12分） 此评审项满分12分，每完全满足一条评审标准得4分；针对每条评审标准，如存在不合理的方面扣2分；针对每条评审标准，方案内容与本项目无关或未提供的，得0分。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项目重难点分析</w:t>
            </w:r>
          </w:p>
        </w:tc>
        <w:tc>
          <w:tcPr>
            <w:tcW w:type="dxa" w:w="2492"/>
          </w:tcPr>
          <w:p>
            <w:pPr>
              <w:pStyle w:val="null3"/>
            </w:pPr>
            <w:r>
              <w:rPr>
                <w:rFonts w:ascii="仿宋_GB2312" w:hAnsi="仿宋_GB2312" w:cs="仿宋_GB2312" w:eastAsia="仿宋_GB2312"/>
              </w:rPr>
              <w:t>一、评审内容：供应商能充分结合项目特点提出重难点分析，并能对重难点提出针对性的解决措施。 二、评审标准：1.完整性：内容全面，对评审内容中的各项要求有详细描述；2.可实施性：切合本项目实际情况，提出步骤清晰、合理的方案；3.针对性：方案能够紧扣项目实际情况，内容科学合理。 三、赋分标准：（满分9分） 此评审项满分9分，每完全满足一条评审标准得3分；针对每条评审标准，如存在不合理的方面扣1.5分；针对每条评审标准，方案内容与本项目无关或未提供的，得0分。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进度计划保证措施</w:t>
            </w:r>
          </w:p>
        </w:tc>
        <w:tc>
          <w:tcPr>
            <w:tcW w:type="dxa" w:w="2492"/>
          </w:tcPr>
          <w:p>
            <w:pPr>
              <w:pStyle w:val="null3"/>
            </w:pPr>
            <w:r>
              <w:rPr>
                <w:rFonts w:ascii="仿宋_GB2312" w:hAnsi="仿宋_GB2312" w:cs="仿宋_GB2312" w:eastAsia="仿宋_GB2312"/>
              </w:rPr>
              <w:t>一、评审内容：供应商针对本项目具有明确可行的进度计划，包括但不限于检测分析以及报告递交采购人的时间，提供相应的保证措施。 二、评审标准：1.完整性：内容全面，对评审内容中的各项要求有详细描述；2.可实施性：切合本项目实际情况，提出步骤清晰、合理的方案；3.针对性：方案能够紧扣项目实际情况，内容科学合理。 三、赋分标准：（满分9分） 此评审项满分9分，每完全满足一条评审标准得3分；针对每条评审标准，如存在不合理的方面扣1.5分；针对每条评审标准，方案内容与本项目无关或未提供的，得0分。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文物安全保障方案</w:t>
            </w:r>
          </w:p>
        </w:tc>
        <w:tc>
          <w:tcPr>
            <w:tcW w:type="dxa" w:w="2492"/>
          </w:tcPr>
          <w:p>
            <w:pPr>
              <w:pStyle w:val="null3"/>
            </w:pPr>
            <w:r>
              <w:rPr>
                <w:rFonts w:ascii="仿宋_GB2312" w:hAnsi="仿宋_GB2312" w:cs="仿宋_GB2312" w:eastAsia="仿宋_GB2312"/>
              </w:rPr>
              <w:t>一、评审内容：供应商针对本项目有具体可行的文物安全保障方案，包括但不限于文物样品的日常保存以及测试过程的安全保障措施等。 二、评审标准：1.完整性：内容全面，对评审内容中的各项要求有详细描述；2.可实施性：切合本项目实际情况，提出步骤清晰、合理的方案；3.针对性：方案能够紧扣项目实际情况，内容科学合理。 三、赋分标准：（满分9分） 此评审项满分9分，每完全满足一条评审标准得3分；针对每条评审标准，如存在不合理的方面扣1.5分；针对每条评审标准，方案内容与本项目无关或未提供的，得0分。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内容：供应商根据本项目情况编制服务质量保障措施：有规范的、合理的服务流程，每个流程环节有质量控制办法，对项目执行过程中的服务质量、技术保证有明确说明。供应商切合实际，能充分利用自身资源及相关技术手段保证成果文件质量要求。 二、评审标准：1.完整性：内容全面，对评审内容中的各项要求有详细描述；2.可实施性：切合本项目实际情况，实施步骤清晰、合理；3.针对性：方案能够紧扣项目实际情况，内容科学合理。 三、赋分标准：（满分9分） 此评审项满分9分，每完全满足一条评审标准得3分；针对每条评审标准，如存在不合理的方面，扣1.5分；针对每条评审标准，方案内容与本项目无关或未提供的，得0分。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一、评审内容：供应商根据本项目特点编制保密措施方案，有相应的保障细则，内容包含：①保密承诺事项②保密实施方案③保密工作规则要求等。 二、评审标准：1.完整性：内容全面，对评审内容中的各项要求有详细描述；2.可实施性：切合本项目实际情况，提出步骤清晰、合理的方案；3.针对性：方案能够紧扣项目实际情况，内容科学合理。 三、赋分标准：（满分9分） 此评审项满分9分，每完全满足一条评审标准得3分；针对每条评审标准，如存在不合理的方面扣1.5分；针对每条评审标准，方案内容与本项目无关或未提供的，得0分。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一、评审内容：供应商针对本项目提供服务承诺，包括但不限于①对本项目进度、时限、测试分析成果文件质量等做出承诺。②对服务时限内团队稳定性、人员到位情况等相关内容做出承诺。 二、评审标准：1.完整性：内容全面，对评审内容中的各项要求有详细描述；2.可实施性：切合本项目实际情况，提出步骤清晰、合理的方案；3.针对性：方案能够紧扣项目实际情况，内容科学合理。 三、赋分标准：（满分12分） ①对本项目进度、时限、测试分析成果文件质量等做出承诺：此评审项满分6分，每完全满足一条评审标准得2分；针对每条评审标准，如存在不合理的方面扣1分；针对每条评审标准，方案内容与本项目无关或未提供的，得0分。②对服务时限内团队稳定性、人员到位情况等相关内容做出承诺：此评审项满分6分，每完全满足一条评审标准得2分；针对每条评审标准，如存在不合理的方面扣1分；针对每条评审标准，方案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一、评审内容：供应商针对本项目有专业的服务团队，包括但不限于①项目负责人②技术服务人员等。 二、赋分标准：（满分6分） 评审内容中各项人员配备数量充足，组织结构合理，人员分工明确，各专业配置齐全，完全满足项目实施需求得6分；人员配备数量充足，专业人员配备能够基本满足项目实施需要，分工有一定的合理性，基本能满足项目需求得4分；人员配备数量较充足、专业配置基本能够满足项目实施需要但分工不明确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一、评审内容：提供供应商2021年1月1日至今类似项目的业绩证明（时间以合同签订时间为准）。 二、赋分标准：（满分10分） 一个业绩得2分，最高10分。供应商需提供完整的业绩合同复印件并加盖公章，未按照要求提供不得分。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商务技术资料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按照财政部财库[2014]214号文件第二十四条和财库[2020]46号文件的规定，采用低价优先法计算，以本次满足磋商文件要求的最低磋商评审价为磋商基准价，其价格为满分。供应商的价格分，统一按照下列公式计算： 磋商评审价=最后报价×（1-报价扣除幅度） 最后报价得分=(磋商基准价／磋商评审价)×100×15%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详见附件：商务技术资料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详见附件：商务技术资料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