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版本号：CT-ZB00-186-202520250804001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西安市中小学思政课骨干教师和校长（书记）专题培训等项目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CT-ZB00-186-2025</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西安市中小学思政课骨干教师和校长（书记）专题培训等项目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CT-ZB00-186-2025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西安市中小学思政课骨干教师和校长（书记）专题培训等项目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小学思政课骨干教师和校长（书记）专题培训等项目中包含2025年西安市中小学思政课骨干教师和校长（书记）专题培训及2025年西安市中小学思政课教研员专题培训项目。其中：2025年西安市中小学思政课骨干教师和校长（书记）专题培训项目旨在为思政课教师队伍成长发展搭建平台、创造条件，全面提升思政课教师的理论功底、知识素养，加强对西安市中小学思政课骨干教师和校长（书记）对马克思主义理论、师德师风、形势与政策的学习教育，着力建设一支政治强、情怀深、思维新、视野广、自律严、人格正的思政课教师队伍。2025年西安市中小学思政课教研员专题培训项目是西安市教育局根据《教育部关于进一步加强新时代中小学思政课建设的意见》（教基〔2022〕5号）要求，确保每位教研员每年接受不少于72课时的专项培训，项目的实施旨在通过强化教研员核心能力建设，进而辐射带动西安市思政课教师队伍整体素质提升，最终服务于培养担当民族复兴大任时代新人的根本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营业执照等主体资格证明文件提供统一社会信用代码的营业执照或其他组织经营的合法凭证或自然人的提供身份证明文件。2.财务状况报告提供具有财务审计资质单位出具的2024年度经审计的完整有效财务报告或磋商前六个月内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p>
      <w:pPr>
        <w:pStyle w:val="null3"/>
      </w:pPr>
      <w:r>
        <w:rPr>
          <w:rFonts w:ascii="仿宋_GB2312" w:hAnsi="仿宋_GB2312" w:cs="仿宋_GB2312" w:eastAsia="仿宋_GB2312"/>
        </w:rPr>
        <w:t>2、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法定代表人授权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pPr>
        <w:pStyle w:val="null3"/>
      </w:pPr>
      <w:r>
        <w:rPr>
          <w:rFonts w:ascii="仿宋_GB2312" w:hAnsi="仿宋_GB2312" w:cs="仿宋_GB2312" w:eastAsia="仿宋_GB2312"/>
        </w:rPr>
        <w:t>4、是否专门面向中小企业采购：本项目为非专门面向中小企业采购。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同秀秀、王超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13201690885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号）及国家发展改革委《关于降低部分建设项目收费标准规范收费行为等有关问题的通知》（发改价格[2011]534号）规定的标准计取（以成交金额结算）。 代理服务费缴纳账号：账户名称：中昕国际项目管理有限公司 开户行：中国建设银行股份有限公司西安文景路支行 银行账号：61050178150000000278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本项目圆满结束。2.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联系人：同秀秀、王超</w:t>
      </w:r>
    </w:p>
    <w:p>
      <w:pPr>
        <w:pStyle w:val="null3"/>
      </w:pPr>
      <w:r>
        <w:rPr>
          <w:rFonts w:ascii="仿宋_GB2312" w:hAnsi="仿宋_GB2312" w:cs="仿宋_GB2312" w:eastAsia="仿宋_GB2312"/>
        </w:rPr>
        <w:t>联系电话：13201690885</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小学思政课骨干教师和校长（书记）专题培训等项目中包含2025年西安市中小学思政课骨干教师和校长（书记）专题培训及2025年西安市中小学思政课教研员专题培训项目。其中：2025年西安市中小学思政课骨干教师和校长（书记）专题培训项目旨在为思政课教师队伍成长发展搭建平台、创造条件，全面提升思政课教师的理论功底、知识素养，加强对西安市中小学思政课骨干教师和校长（书记）对马克思主义理论、师德师风、形势与政策的学习教育，着力建设一支政治强、情怀深、思维新、视野广、自律严、人格正的思政课教师队伍。2025年西安市中小学思政课教研员专题培训项目是西安市教育局根据《教育部关于进一步加强新时代中小学思政课建设的意见》（教基〔2022〕5号）要求，确保每位教研员每年接受不少于72课时的专项培训，项目的实施旨在通过强化教研员核心能力建设，进而辐射带动西安市思政课教师队伍整体素质提升，最终服务于培养担当民族复兴大任时代新人的根本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西安市中小学思政课骨干教师和校长（书记）专题培训等项目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标的名称：西安市中小学思政课骨干教师和校长（书记）专题培训等项目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（一）西安市中小学思政课骨干教师和校长（书记）专题培训项目</w:t>
            </w:r>
          </w:p>
          <w:p>
            <w:pPr>
              <w:pStyle w:val="null3"/>
            </w:pPr>
            <w:r>
              <w:rPr>
                <w:rFonts w:ascii="仿宋_GB2312" w:hAnsi="仿宋_GB2312" w:cs="仿宋_GB2312" w:eastAsia="仿宋_GB2312"/>
              </w:rPr>
              <w:t>1.培训对象：西安市中小学思政课骨干教师和校长（书记）</w:t>
            </w:r>
          </w:p>
          <w:p>
            <w:pPr>
              <w:pStyle w:val="null3"/>
            </w:pPr>
            <w:r>
              <w:rPr>
                <w:rFonts w:ascii="仿宋_GB2312" w:hAnsi="仿宋_GB2312" w:cs="仿宋_GB2312" w:eastAsia="仿宋_GB2312"/>
              </w:rPr>
              <w:t>2.培训人数：250人</w:t>
            </w:r>
          </w:p>
          <w:p>
            <w:pPr>
              <w:pStyle w:val="null3"/>
            </w:pPr>
            <w:r>
              <w:rPr>
                <w:rFonts w:ascii="仿宋_GB2312" w:hAnsi="仿宋_GB2312" w:cs="仿宋_GB2312" w:eastAsia="仿宋_GB2312"/>
              </w:rPr>
              <w:t>3.培训周期：5天</w:t>
            </w:r>
          </w:p>
          <w:p>
            <w:pPr>
              <w:pStyle w:val="null3"/>
            </w:pPr>
            <w:r>
              <w:rPr>
                <w:rFonts w:ascii="仿宋_GB2312" w:hAnsi="仿宋_GB2312" w:cs="仿宋_GB2312" w:eastAsia="仿宋_GB2312"/>
              </w:rPr>
              <w:t>4.培训内容：聚焦“大思政课”建设，加深对新时代加强思想政治理论课建设的重要性认识，对党的教育路线、方针、政策的领会，助力思想政治教教师队伍深化对党的创新理论的理解，深化对世情国情民情的认识，深化对新时代中国特色社会主义伟大实践的了解，提升思想政治教育队伍的政治素养和业务能力，能够从战略高度认识、把握思政课改革创新的总体要求。</w:t>
            </w:r>
          </w:p>
          <w:p>
            <w:pPr>
              <w:pStyle w:val="null3"/>
            </w:pPr>
            <w:r>
              <w:rPr>
                <w:rFonts w:ascii="仿宋_GB2312" w:hAnsi="仿宋_GB2312" w:cs="仿宋_GB2312" w:eastAsia="仿宋_GB2312"/>
              </w:rPr>
              <w:t>5.培训方式：以理论与实践深度融合、任务驱动与成果导向相结合、过程性与发展性评价相结合、个性化与协作化相结合、数字化赋能支持为原则，突出需求分析、分层培养、任务驱动、专家匹配、数据支持和动态调整等关键环节，确保培训资源精准投放、学员能力精准提升、成果价值精准转化，提升整体培训效果。</w:t>
            </w:r>
          </w:p>
          <w:p>
            <w:pPr>
              <w:pStyle w:val="null3"/>
            </w:pPr>
            <w:r>
              <w:rPr>
                <w:rFonts w:ascii="仿宋_GB2312" w:hAnsi="仿宋_GB2312" w:cs="仿宋_GB2312" w:eastAsia="仿宋_GB2312"/>
              </w:rPr>
              <w:t>（二）西安市中小学思政课教研员专题培训项目</w:t>
            </w:r>
          </w:p>
          <w:p>
            <w:pPr>
              <w:pStyle w:val="null3"/>
            </w:pPr>
            <w:r>
              <w:rPr>
                <w:rFonts w:ascii="仿宋_GB2312" w:hAnsi="仿宋_GB2312" w:cs="仿宋_GB2312" w:eastAsia="仿宋_GB2312"/>
              </w:rPr>
              <w:t>1.培训对象：西安市中小学思政课教研员</w:t>
            </w:r>
          </w:p>
          <w:p>
            <w:pPr>
              <w:pStyle w:val="null3"/>
            </w:pPr>
            <w:r>
              <w:rPr>
                <w:rFonts w:ascii="仿宋_GB2312" w:hAnsi="仿宋_GB2312" w:cs="仿宋_GB2312" w:eastAsia="仿宋_GB2312"/>
              </w:rPr>
              <w:t>2.培训人数：125人</w:t>
            </w:r>
          </w:p>
          <w:p>
            <w:pPr>
              <w:pStyle w:val="null3"/>
            </w:pPr>
            <w:r>
              <w:rPr>
                <w:rFonts w:ascii="仿宋_GB2312" w:hAnsi="仿宋_GB2312" w:cs="仿宋_GB2312" w:eastAsia="仿宋_GB2312"/>
              </w:rPr>
              <w:t>3.培训周期：9天</w:t>
            </w:r>
          </w:p>
          <w:p>
            <w:pPr>
              <w:pStyle w:val="null3"/>
            </w:pPr>
            <w:r>
              <w:rPr>
                <w:rFonts w:ascii="仿宋_GB2312" w:hAnsi="仿宋_GB2312" w:cs="仿宋_GB2312" w:eastAsia="仿宋_GB2312"/>
              </w:rPr>
              <w:t>4.培训内容：围绕新时代思政课改革创新要求，聚焦教研员核心能力提升，涵盖政策解读、教学研究方法、教师分层培养策略、区域教研组织创新、数字化转型实践及大中小学思政课一体化衔接路径，同时强化教研员学术研究能力、师德引领与沟通艺术，结合案例研讨、工作坊模拟与实地考察，推动教研员从课程指导者转型为区域思政教育改革的引领者，最终通过项目式学习产出可落地的教研改进方案或实践报告，助力思政课高质量发展。</w:t>
            </w:r>
          </w:p>
          <w:p>
            <w:pPr>
              <w:pStyle w:val="null3"/>
            </w:pPr>
            <w:r>
              <w:rPr>
                <w:rFonts w:ascii="仿宋_GB2312" w:hAnsi="仿宋_GB2312" w:cs="仿宋_GB2312" w:eastAsia="仿宋_GB2312"/>
              </w:rPr>
              <w:t>5.培训方式：以理论与实践深度融合、任务驱动与成果导向相结合、过程性与发展性评价相结合、个性化与协作化相结合、数字化赋能支持为原则，突出需求分析、分层培养、任务驱动、专家匹配、数据支持和动态调整等关键环节，确保培训资源精准投放、学员能力精准提升、成果价值精准转化，提升整体培训效果。</w:t>
            </w:r>
          </w:p>
          <w:p>
            <w:pPr>
              <w:pStyle w:val="null3"/>
            </w:pPr>
            <w:r>
              <w:rPr>
                <w:rFonts w:ascii="仿宋_GB2312" w:hAnsi="仿宋_GB2312" w:cs="仿宋_GB2312" w:eastAsia="仿宋_GB2312"/>
              </w:rPr>
              <w:t>供应商须提供项目培训方案、培训计划、专家师资、组织管理保障等信息。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1.项目完成后，由甲方和乙方共同对项目进行整体验收。 2.其内容包括乙方是否按照甲方要求进行服务、是否在规定时间内服务完毕、服务工作是否存在失误。验收合格后，填写政府采购项目验收单、验收报告作为对本服务的最终认可。 3.乙方向甲方提供服务过程中的所有相关资料,以便甲方日后管理。 4.验收依据为竞争性磋商文件、磋商响应文件、澄清表（函）、政府采购合同及附件文本、国家相应的标准、规范。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3.如甲方未能在本合同约定时间内支付款项，每延迟一天，甲方须向乙方支付一定的费用作为违约金。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违约金不足以弥补损失的，乙方还应承担相应赔偿责任。 7.执行本合同过程中发生争议，应友好协商解决，协商不成的，任何一方可到甲方所在地人民法院提起诉讼。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中标（成交）通知书时，向采购代理机构提供一正两副纸质响应文件及电子版1份（签字盖章扫描PDF和word文档格式，U盘存储）。2.供应商应自磋商文件递交截止时间起至磋商结束，保持在线状态。3.本项目为非专门面向中小企业采购。4.本项目最高限价为1，150，000.00元，其中西安市中小学思政课骨干教师和校长（书记）专题培训项目最高限价为600，000.00元，西安市中小学思政课教研员专题培训项目最高限价为550，000.00元，各供应商需在响应文件格式的附件分项报价表中分别对以上两部分进行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经审计的完整有效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2.财务状况报告提供具有财务审计资质单位出具的2024年度经审计的完整有效财务报告或磋商前六个月内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供应商应提交的相关资格证明材料.docx 供应商廉洁自律承诺书.docx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完全理解并接受《供应商廉洁自律承诺书》内容。</w:t>
            </w:r>
          </w:p>
        </w:tc>
        <w:tc>
          <w:tcPr>
            <w:tcW w:type="dxa" w:w="1661"/>
          </w:tcPr>
          <w:p>
            <w:pPr>
              <w:pStyle w:val="null3"/>
            </w:pPr>
            <w:r>
              <w:rPr>
                <w:rFonts w:ascii="仿宋_GB2312" w:hAnsi="仿宋_GB2312" w:cs="仿宋_GB2312" w:eastAsia="仿宋_GB2312"/>
              </w:rPr>
              <w:t>供应商廉洁自律承诺书.docx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 整体服务方案</w:t>
            </w:r>
          </w:p>
        </w:tc>
        <w:tc>
          <w:tcPr>
            <w:tcW w:type="dxa" w:w="2492"/>
          </w:tcPr>
          <w:p>
            <w:pPr>
              <w:pStyle w:val="null3"/>
            </w:pPr>
            <w:r>
              <w:rPr>
                <w:rFonts w:ascii="仿宋_GB2312" w:hAnsi="仿宋_GB2312" w:cs="仿宋_GB2312" w:eastAsia="仿宋_GB2312"/>
              </w:rPr>
              <w:t>针对本项目提供具体可行的整体服务方案，至少包括：①项目需求分析、②培训目标、③培训内容、④培训方式、⑤学员考核机制、⑥项目培训方案、⑦项目实施计划。以上内容完整、描述详尽、符合项目实际需求的，得 35分；每缺少一项扣5分；虽提供但所述内容有缺陷扣2.5分/处，每项内容最多扣5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 教学管理制度</w:t>
            </w:r>
          </w:p>
        </w:tc>
        <w:tc>
          <w:tcPr>
            <w:tcW w:type="dxa" w:w="2492"/>
          </w:tcPr>
          <w:p>
            <w:pPr>
              <w:pStyle w:val="null3"/>
            </w:pPr>
            <w:r>
              <w:rPr>
                <w:rFonts w:ascii="仿宋_GB2312" w:hAnsi="仿宋_GB2312" w:cs="仿宋_GB2312" w:eastAsia="仿宋_GB2312"/>
              </w:rPr>
              <w:t>至少包括：①授课教师管理制度、②学员管理制度、③班主任管理制度、④其他健全的内部管理制度。以上内容完整、描述详尽、符合项目实际需求的，得 8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 组织管理保障方案</w:t>
            </w:r>
          </w:p>
        </w:tc>
        <w:tc>
          <w:tcPr>
            <w:tcW w:type="dxa" w:w="2492"/>
          </w:tcPr>
          <w:p>
            <w:pPr>
              <w:pStyle w:val="null3"/>
            </w:pPr>
            <w:r>
              <w:rPr>
                <w:rFonts w:ascii="仿宋_GB2312" w:hAnsi="仿宋_GB2312" w:cs="仿宋_GB2312" w:eastAsia="仿宋_GB2312"/>
              </w:rPr>
              <w:t>至少包括：①培训组织方案、②培训场地资源、③跟踪指导机制、④沟通协调机制、⑤学员培训成果展示。以上内容完整描述详尽、符合项目实际需求的，得10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 应急管理方案</w:t>
            </w:r>
          </w:p>
        </w:tc>
        <w:tc>
          <w:tcPr>
            <w:tcW w:type="dxa" w:w="2492"/>
          </w:tcPr>
          <w:p>
            <w:pPr>
              <w:pStyle w:val="null3"/>
            </w:pPr>
            <w:r>
              <w:rPr>
                <w:rFonts w:ascii="仿宋_GB2312" w:hAnsi="仿宋_GB2312" w:cs="仿宋_GB2312" w:eastAsia="仿宋_GB2312"/>
              </w:rPr>
              <w:t>至少包括：①突发事件预防及处理、②师资力量调配。以上内容完整、描述详尽、符合项目实际需求的，得4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 人员配置</w:t>
            </w:r>
          </w:p>
        </w:tc>
        <w:tc>
          <w:tcPr>
            <w:tcW w:type="dxa" w:w="2492"/>
          </w:tcPr>
          <w:p>
            <w:pPr>
              <w:pStyle w:val="null3"/>
            </w:pPr>
            <w:r>
              <w:rPr>
                <w:rFonts w:ascii="仿宋_GB2312" w:hAnsi="仿宋_GB2312" w:cs="仿宋_GB2312" w:eastAsia="仿宋_GB2312"/>
              </w:rPr>
              <w:t>根据供应商拟投入本项目的专家团队进行评审： 1、培训专家组组长(1人)：具有①相关科目正高级职称，同时具有丰富一线教学和培训经验的知名专家，得8分；②相关科目副高级职称，同时具有丰富一线教学和培训经验的知名专家，得5分；③相关科目中级职称，同时具有丰富一线教学和培训经验的知名专家，得3分。本项最高得8分。 2、授课专家团队中（除培训专家组组长外），每有1名①相关科目正高级职称，同时具有丰富一线教学和培训经验的知名专家，得3分；②相关科目副高级职称，同时具有丰富一线教学和培训经验的知名专家，得2分；③相关科目中级职称，同时具有丰富一线教学和培训经验的知名专家，得1分；本项最高得12分。 注：①同一人员不可重复计分；②提供专家团队人员的职称证书复印件及具有丰富一线教学和培训经验的知名专家的相关证明材料并加盖供应商公章。 3、其他管理人员：每配置1名专职班主任的，得1分，最高得3分； 注：以上人员均为供应商单位的在职员工，提供在职证明材料复印件和身份证复印件并加盖供应商公章。</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2022年1月1日以来(以合同签订时间为准)，每提供1个类似业绩的，得2分，本项最高得10分。 注：(1)类似业绩是指：教师培训类服务业绩；(2)应提供合同复印件或中标(成交)通知书复印件并加盖供应商公章。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详见附件：合同-思政课专题培训.docx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