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版本号：SXZY-2025-ZC-113620250805001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举办西安市会展业创新发展大会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SXZY-2025-ZC-1136</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举办西安市会展业创新发展大会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举办西安市会展业创新发展大会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推动会展业创新发展，加强西安会展宣传推介，搭建对外交流合作平台，促进会展项目引进，推动我市创建国际消费中心城市和“一带一路”国际会展名城建设，举办2025西安市会展业创新发展大会（计划三天）。大会邀请政府部门领导、国家级商协会、全国性会展机构、会展行业专家、相关企业及媒体等人员参会，举办开幕式暨全体大会、平行对接洽谈、精准宣传推介、展会交流合作、相关展览展示和参观考察等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采购包1（举办西安市会展业创新发展大会）：属于专门面向中小企业采购。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86786473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动会展业创新发展，加强西安会展宣传推介，搭建对外交流合作平台，促进会展项目引进，推动我市创建国际消费中心城市和“一带一路”国际会展名城建设，举办2025西安市会展业创新发展大会（计划三天）。大会邀请政府部门领导、国家级商协会、全国性会展机构、会展行业专家、相关企业及媒体等人员参会，举办开幕式暨全体大会、平行对接洽谈、精准宣传推介、展会交流合作、相关展览展示和参观考察等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活动策划、组织、执行，嘉宾邀请及活动宣传等服务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标的名称：活动策划、组织、执行，嘉宾邀请及活动宣传等服务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服务内容</w:t>
            </w:r>
          </w:p>
          <w:p>
            <w:pPr>
              <w:pStyle w:val="null3"/>
              <w:jc w:val="both"/>
            </w:pPr>
            <w:r>
              <w:rPr>
                <w:rFonts w:ascii="仿宋_GB2312" w:hAnsi="仿宋_GB2312" w:cs="仿宋_GB2312" w:eastAsia="仿宋_GB2312"/>
              </w:rPr>
              <w:t>1.全案策划编制：编制涵盖全体大会、主题演讲、洽谈对接、配套展示等板块的全流程策划方案，突出西安特色、会展创新，融入“一带一路”元素，体现国际化、数字化亮点。</w:t>
            </w:r>
          </w:p>
          <w:p>
            <w:pPr>
              <w:pStyle w:val="null3"/>
              <w:jc w:val="both"/>
            </w:pPr>
            <w:r>
              <w:rPr>
                <w:rFonts w:ascii="仿宋_GB2312" w:hAnsi="仿宋_GB2312" w:cs="仿宋_GB2312" w:eastAsia="仿宋_GB2312"/>
              </w:rPr>
              <w:t>2.活动执行统筹：制定详细执行计划（含时间节点、人员分工、应急预案），邀请相关单位机构参与，落实嘉宾出席、议程审定等工作。</w:t>
            </w:r>
          </w:p>
          <w:p>
            <w:pPr>
              <w:pStyle w:val="null3"/>
              <w:jc w:val="both"/>
            </w:pPr>
            <w:r>
              <w:rPr>
                <w:rFonts w:ascii="仿宋_GB2312" w:hAnsi="仿宋_GB2312" w:cs="仿宋_GB2312" w:eastAsia="仿宋_GB2312"/>
              </w:rPr>
              <w:t>3.场地与布置服务：租赁符合需求的会议及展示场地，配备音响、灯光、LED屏、同声传译等设备；设计搭建主分会场、展示区、洽谈区等功能区域，结合西安地标与会展元素装饰，设置签到处、宣传墙等互动区域。</w:t>
            </w:r>
          </w:p>
          <w:p>
            <w:pPr>
              <w:pStyle w:val="null3"/>
              <w:jc w:val="both"/>
            </w:pPr>
            <w:r>
              <w:rPr>
                <w:rFonts w:ascii="仿宋_GB2312" w:hAnsi="仿宋_GB2312" w:cs="仿宋_GB2312" w:eastAsia="仿宋_GB2312"/>
              </w:rPr>
              <w:t>4.嘉宾与参会服务：邀请国家级商协会负责人、专家等重要嘉宾，提供邀请函制作、行程对接、接送机等服务；负责参会人员报名统计、证件制作发放，协调餐饮、交通等后勤保障，建立线上沟通渠道。</w:t>
            </w:r>
          </w:p>
          <w:p>
            <w:pPr>
              <w:pStyle w:val="null3"/>
              <w:jc w:val="both"/>
            </w:pPr>
            <w:r>
              <w:rPr>
                <w:rFonts w:ascii="仿宋_GB2312" w:hAnsi="仿宋_GB2312" w:cs="仿宋_GB2312" w:eastAsia="仿宋_GB2312"/>
              </w:rPr>
              <w:t>5.核心活动执行：策划全体大会开幕式（含发布、签约、推介环节），安排礼仪、摄影摄像团队；对接主题演讲嘉宾，审核讲稿、制作PPT、设计互动环节；组织洽谈对接活动，提供场地布置、资料准备、翻译服务及合作跟进；规划配套展示活动，设计会场展位布局，协调布撤展，制作导览手册并安排讲解员。</w:t>
            </w:r>
          </w:p>
          <w:p>
            <w:pPr>
              <w:pStyle w:val="null3"/>
              <w:jc w:val="both"/>
            </w:pPr>
            <w:r>
              <w:rPr>
                <w:rFonts w:ascii="仿宋_GB2312" w:hAnsi="仿宋_GB2312" w:cs="仿宋_GB2312" w:eastAsia="仿宋_GB2312"/>
              </w:rPr>
              <w:t>6.宣传与物料服务：设计制作主视觉海报、宣传视频、会议手册等物料；制定宣传方案，邀请媒体报道扩大影响力，活动期间进行负面影响监测与反馈处理。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技术要求</w:t>
            </w:r>
          </w:p>
          <w:p>
            <w:pPr>
              <w:pStyle w:val="null3"/>
              <w:jc w:val="both"/>
            </w:pPr>
            <w:r>
              <w:rPr>
                <w:rFonts w:ascii="仿宋_GB2312" w:hAnsi="仿宋_GB2312" w:cs="仿宋_GB2312" w:eastAsia="仿宋_GB2312"/>
              </w:rPr>
              <w:t>音响、灯光、LED屏、同声传译等设备需达到专业会议标准，确保声音清晰、画面稳定、翻译精准；高清投影、无线话筒等设备需适配场地规模，保障多设备兼容与应急响应。</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服务要求</w:t>
            </w:r>
          </w:p>
          <w:p>
            <w:pPr>
              <w:pStyle w:val="null3"/>
              <w:jc w:val="both"/>
            </w:pPr>
            <w:r>
              <w:rPr>
                <w:rFonts w:ascii="仿宋_GB2312" w:hAnsi="仿宋_GB2312" w:cs="仿宋_GB2312" w:eastAsia="仿宋_GB2312"/>
              </w:rPr>
              <w:t>1.人员保障：配备专业执行团队，明确各环节负责人，确保响应及时。</w:t>
            </w:r>
          </w:p>
          <w:p>
            <w:pPr>
              <w:pStyle w:val="null3"/>
              <w:jc w:val="both"/>
            </w:pPr>
            <w:r>
              <w:rPr>
                <w:rFonts w:ascii="仿宋_GB2312" w:hAnsi="仿宋_GB2312" w:cs="仿宋_GB2312" w:eastAsia="仿宋_GB2312"/>
              </w:rPr>
              <w:t>2.时间管理：严格按照既定时间节点推进工作，提前完成场地布置、设备调试、嘉宾确认等关键环节，避免延误。</w:t>
            </w:r>
          </w:p>
          <w:p>
            <w:pPr>
              <w:pStyle w:val="null3"/>
              <w:jc w:val="both"/>
            </w:pPr>
            <w:r>
              <w:rPr>
                <w:rFonts w:ascii="仿宋_GB2312" w:hAnsi="仿宋_GB2312" w:cs="仿宋_GB2312" w:eastAsia="仿宋_GB2312"/>
              </w:rPr>
              <w:t>3.应急处理：建立完善应急预案，对设备故障、人员突发情况等潜在问题能快速响应并妥善解决，保障活动有序进行。</w:t>
            </w:r>
          </w:p>
          <w:p>
            <w:pPr>
              <w:pStyle w:val="null3"/>
              <w:jc w:val="both"/>
            </w:pPr>
            <w:r>
              <w:rPr>
                <w:rFonts w:ascii="仿宋_GB2312" w:hAnsi="仿宋_GB2312" w:cs="仿宋_GB2312" w:eastAsia="仿宋_GB2312"/>
              </w:rPr>
              <w:t>4.成果达标：确保各项绩效目标实现（如嘉宾邀请数量等），活动结束后需提供验收所需的完整资料（如活动总结、成果报告等）。</w:t>
            </w:r>
          </w:p>
          <w:p>
            <w:pPr>
              <w:pStyle w:val="null3"/>
              <w:jc w:val="both"/>
            </w:pPr>
            <w:r>
              <w:rPr>
                <w:rFonts w:ascii="仿宋_GB2312" w:hAnsi="仿宋_GB2312" w:cs="仿宋_GB2312" w:eastAsia="仿宋_GB2312"/>
              </w:rPr>
              <w:t>5.服务规范：嘉宾接待、参会人员服务需体现专业性与周到性，礼仪、翻译等服务人员需具备相应资质或经验。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进度要求</w:t>
            </w:r>
          </w:p>
          <w:p>
            <w:pPr>
              <w:pStyle w:val="null3"/>
              <w:jc w:val="both"/>
            </w:pPr>
            <w:r>
              <w:rPr>
                <w:rFonts w:ascii="仿宋_GB2312" w:hAnsi="仿宋_GB2312" w:cs="仿宋_GB2312" w:eastAsia="仿宋_GB2312"/>
              </w:rPr>
              <w:t>按照采购方要求进度完成项目内容。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成果交付要求</w:t>
            </w:r>
          </w:p>
          <w:p>
            <w:pPr>
              <w:pStyle w:val="null3"/>
              <w:jc w:val="both"/>
            </w:pPr>
            <w:r>
              <w:rPr>
                <w:rFonts w:ascii="仿宋_GB2312" w:hAnsi="仿宋_GB2312" w:cs="仿宋_GB2312" w:eastAsia="仿宋_GB2312"/>
              </w:rPr>
              <w:t>邀请外地重要嘉宾不少于30人，国家级商协会、全国性会展机构不少于50家，会展行业企业不少于100家，促进签约合作项目不少于10个。活动结束后15个工作日内，提交完整的成果材料，包括但不限于活动总结报告、单位机构及嘉宾名单、签约项目清单、图影资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配备专业执行团队，明确各环节负责人，确保响应及时。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音响、灯光、LED屏、同声传译等设备需达到专业会议标准，确保声音清晰、画面稳定、翻译精准；高清投影、无线话筒等设备需适配场地规模，保障多设备兼容与应急响应。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1.验收依据：参考行业关于服务的相关标准、合同约定的服务内容、采购方确认的执行方案及本项目绩效目标为主要依据。 2.验收流程：活动结束后，依托第三方机构对照服务内容及成果交付要求进行验收；服务商需配合提供验收所需的全部资料，并对疑问进行书面说明。 3.合格标准：活动流程无重大失误，各环节执行顺畅，未出现影响活动开展的安全、技术等问题；成果交付指标全部达标；服务质量符合行业通用标准及采购方合理要求，书面活动总结完整规范。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供应商项目执行结束经验收合格后，向采购方开具等额的增值税普通发票。采购方收到合规的发票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如任意一方不履行合同义务或者履行合同义务不符合约定的，应当承担继续履行、采取补救措施或者赔偿损失等违约责任。3.因任何一方违约导致合同无法继续履行的，违约方需赔偿守约方合同金额20%的违约金，该违约金不足以弥补守约方实际损失的，违约方应赔偿守约方所有实际损失。4.如碰到不可抗力因素造成无法按照原计划提供服务的，由甲乙双方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范围：举办西安市会展业创新发展大会。2、服务标准：现行的国家标准或国家行政部门颁布的法律法规、规章制度等，没有国家标准的，可以参考行业标准。3、供应商所报的价格应考虑到可能发生的所有与完成本项目相关服务及履行合同义务有关的一切费用，任何有选择的报价将不予接受，按无效磋商处理。4、本项目所属行业为：租赁和商务服务业。根据《工业和信息化部、国家统计局、国家发展和改革委员会、财政部关于印发中小企业划型标准规定的通知》《工信部联企业(2011)300 号)规定的划分标准, 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5、成交供应商在领取成交通知书前，需向采购代理机构提交加盖公章的纸质版响应文件三套，成交供应商应保持响应文件纸质版内容与系统上传内容完全一致，否则将承担一切法律责任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2024年8月至今已缴纳的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2024年8月至今已缴纳的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②可提供截至磋商响应文件提交截止日前三个月内银行出具的资信证明（附基本存款账户信息）； ③供应商注册时间截至磋商响应文件提交截止日不足一年的，可提供成立后任意时段的资产负债表。｝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费用明细表 中小企业声明函 资格证明材料 报价表 合同条款响应偏离表 响应文件封面 其他资料 残疾人福利性单位声明函 技术（服务）方案说明书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供应商阐述针对本项目的理解，进行重难点分析并提出对策建议。 结合对项目情况及项目特征的理解，能够进行全面、客观的重难点分析，有可行、详实的对策建议，得5分； 结合项目情况及项目特征的理解，有重难点分析及对策建议，但内容不全面，对策建议客观性、可行性较差，得3分； 没有结合项目情况及项目特征进行重难点分析，内容针对性弱，对策建议可行性差，得1分；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根据本项目的服务特点、服务目标、服务要求、服务方式等内容制定本项目整体服务方案 充分结合本项目服务特点，内容全面详细、阐述条理清晰详尽、措施具体完善、可行性强，完全满足采购需求，得10分； 结合本项目服务特点、内容较为全面详细、阐述条理较为清晰、措施较为具体、可行性较强，满足采购需求，得8分； 方案内容不详细，合理性、可行性较差，基本满足采购需求，得6分； 方案未结合本项目特点，内容简单，合理性、可行性差，得3分；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针对本项目制定具体可行的设计方案，根据设计方案的规范性、合理性、科学性和可行性、效果图设计合理，采用的布展理念适用，贴合项目需求。 设计方案完整详细、布局合理、所含内容全面，针对性及可行性强，得10分； 设计方案较为详细合理、所含内容较为全面，针对性及可行性较强，得8分； 设计方案合理性一般、所含内容基本全面，针对性及可行性一般，得6分； 设计方案有缺项、内容完整度差，布局不合理，得3分；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活动策划方案新颖、全面、创意性强，可操作性强，得10分； 活动策划方案较新颖、较全面、创意性较强，可操作性较强，得8分； 活动策划方案新颖程度一般，有一定的可操作性，得6分； 活动策划方案新颖程度较差、全面性、创意性较差，可操作性较差，得3分；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供应商根据服务内容制定项目实施进度计划。 计划安排完善、科学合理，各环节衔接紧凑，可执行性强，完全满足采购需求，得10分； 计划安排较为完善与合理，各环节衔接较紧凑，可执行性较强，满足采购需求，得8分； 计划安排基本合理，可执行性一般，基本满足采购需求，得6分； 计划安排不合理，内容不完整，不能完全满足采购需求，得3分；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团队人员数量较少、配备合理性较差、职责基本明确，基本满足项目需求，得6分； 团队人员数量少、配备不合理、职责不明确，基本满足项目需求，得3分；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内容科学全面、可行性强，得7分； 内容较为科学全面、可行性较强，得5分； 内容基本全面、可行性一般，得3分； 内容存在重大缺陷、可行性差，得1分；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针对项目实施过程中可能出现的设备故障、人员突发情况等问题的各类应急预案。 内容详实、完整、完全符合项目实际，可行性强，得5分； 内容基本完整、基本符合项目实际，可行性一般，3分； 内容存在重大缺陷、可行性差，得1分；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针对本项目服务内容，有完善的服务后勤保障方案，满足本项目采购需求。 内容科学全面、可行性强，得5分； 内容基本全面、可行性一般，得3分； 内容存在重大缺陷、可行性差，得1分；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为完成本项目拟投入的专业设备。 设备配备完善，详细，完全满足项目需求，得5分； 设备配备较为完善，满足项目需求，得3分； 设备配备基本满足项目需求，得1分；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根据供应商针对本项目的合理化建议，评审得分。 合理化建议明确、合理且详细，具有高标准，有针对性和可操作性，得5分； 合理化建议明确、合理但不够详细，具有高标准，有针对性但可行性一般，得3分； 合理化建议粗略，可行性不足，得1分；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提供2022年1月1日至今类似服务项目业绩合同，每提供一个计2分，最高计8分。 业绩证明以合同（协议）或中标（成交）通知书为准，须在磋商响应文件中附合同（协议）或中标（成交）通知书的扫描件加盖单位公章。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