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101A1">
      <w:pPr>
        <w:pStyle w:val="6"/>
        <w:jc w:val="center"/>
        <w:outlineLvl w:val="1"/>
        <w:rPr>
          <w:color w:val="auto"/>
          <w:highlight w:val="none"/>
        </w:rPr>
      </w:pPr>
      <w:r>
        <w:rPr>
          <w:b/>
          <w:color w:val="auto"/>
          <w:sz w:val="36"/>
          <w:highlight w:val="none"/>
        </w:rPr>
        <w:t>合同文本</w:t>
      </w:r>
    </w:p>
    <w:p w14:paraId="7A9E1550">
      <w:pPr>
        <w:pStyle w:val="6"/>
        <w:rPr>
          <w:rFonts w:hint="eastAsia" w:eastAsiaTheme="minorEastAsia"/>
          <w:color w:val="auto"/>
          <w:highlight w:val="none"/>
          <w:lang w:eastAsia="zh-CN"/>
        </w:rPr>
      </w:pPr>
      <w:r>
        <w:rPr>
          <w:color w:val="auto"/>
          <w:highlight w:val="none"/>
        </w:rPr>
        <w:t xml:space="preserve"> </w:t>
      </w:r>
    </w:p>
    <w:p w14:paraId="4EE5E923">
      <w:pPr>
        <w:pStyle w:val="6"/>
        <w:spacing w:line="360" w:lineRule="auto"/>
        <w:ind w:firstLine="480"/>
        <w:rPr>
          <w:rFonts w:hint="eastAsia"/>
          <w:color w:val="auto"/>
          <w:highlight w:val="none"/>
        </w:rPr>
      </w:pPr>
    </w:p>
    <w:p w14:paraId="0E5FD518">
      <w:pPr>
        <w:pStyle w:val="6"/>
        <w:spacing w:line="360" w:lineRule="auto"/>
        <w:ind w:firstLine="480"/>
        <w:rPr>
          <w:rFonts w:hint="eastAsia"/>
          <w:color w:val="auto"/>
          <w:highlight w:val="none"/>
        </w:rPr>
      </w:pPr>
      <w:r>
        <w:rPr>
          <w:rFonts w:hint="eastAsia"/>
          <w:color w:val="auto"/>
          <w:highlight w:val="none"/>
        </w:rPr>
        <w:t xml:space="preserve">甲方：西安烈士陵园 </w:t>
      </w:r>
      <w:r>
        <w:rPr>
          <w:rFonts w:hint="eastAsia"/>
          <w:color w:val="auto"/>
          <w:highlight w:val="none"/>
          <w:lang w:val="en-US" w:eastAsia="zh-CN"/>
        </w:rPr>
        <w:t xml:space="preserve">    </w:t>
      </w:r>
      <w:r>
        <w:rPr>
          <w:rFonts w:hint="eastAsia"/>
          <w:color w:val="auto"/>
          <w:highlight w:val="none"/>
        </w:rPr>
        <w:t>乙方：</w:t>
      </w:r>
    </w:p>
    <w:p w14:paraId="01159278">
      <w:pPr>
        <w:pStyle w:val="6"/>
        <w:spacing w:line="360" w:lineRule="auto"/>
        <w:ind w:firstLine="480"/>
        <w:rPr>
          <w:rFonts w:hint="eastAsia"/>
          <w:color w:val="auto"/>
          <w:highlight w:val="none"/>
        </w:rPr>
      </w:pPr>
      <w:r>
        <w:rPr>
          <w:rFonts w:hint="eastAsia"/>
          <w:color w:val="auto"/>
          <w:highlight w:val="none"/>
        </w:rPr>
        <w:t>依据《中华人民共和国政府采购法》、《中华人民共和国民法典》以及竞争性磋商文 件、成交通知书，经甲、乙双方协商，达成如下合同条款。</w:t>
      </w:r>
    </w:p>
    <w:p w14:paraId="5DB1D779">
      <w:pPr>
        <w:pStyle w:val="6"/>
        <w:spacing w:line="360" w:lineRule="auto"/>
        <w:ind w:firstLine="480"/>
        <w:rPr>
          <w:rFonts w:hint="eastAsia"/>
          <w:color w:val="auto"/>
          <w:highlight w:val="none"/>
        </w:rPr>
      </w:pPr>
      <w:r>
        <w:rPr>
          <w:rFonts w:hint="eastAsia"/>
          <w:color w:val="auto"/>
          <w:highlight w:val="none"/>
        </w:rPr>
        <w:t>一、合同标的物内容及数量（以响应文件正本和澄清表〈函〉为准）</w:t>
      </w:r>
    </w:p>
    <w:p w14:paraId="709D625B">
      <w:pPr>
        <w:pStyle w:val="6"/>
        <w:spacing w:line="360" w:lineRule="auto"/>
        <w:ind w:firstLine="480"/>
        <w:rPr>
          <w:rFonts w:hint="eastAsia"/>
          <w:color w:val="auto"/>
          <w:highlight w:val="none"/>
        </w:rPr>
      </w:pPr>
    </w:p>
    <w:tbl>
      <w:tblPr>
        <w:tblStyle w:val="7"/>
        <w:tblW w:w="8849" w:type="dxa"/>
        <w:tblInd w:w="2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474"/>
        <w:gridCol w:w="2473"/>
        <w:gridCol w:w="1259"/>
        <w:gridCol w:w="1305"/>
        <w:gridCol w:w="809"/>
        <w:gridCol w:w="785"/>
      </w:tblGrid>
      <w:tr w14:paraId="5CF95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744" w:type="dxa"/>
            <w:vAlign w:val="center"/>
          </w:tcPr>
          <w:p w14:paraId="0CD90F67">
            <w:pPr>
              <w:pStyle w:val="6"/>
              <w:spacing w:line="360" w:lineRule="auto"/>
              <w:jc w:val="center"/>
              <w:rPr>
                <w:rFonts w:hint="eastAsia"/>
                <w:color w:val="auto"/>
                <w:highlight w:val="none"/>
              </w:rPr>
            </w:pPr>
            <w:r>
              <w:rPr>
                <w:rFonts w:hint="eastAsia"/>
                <w:color w:val="auto"/>
                <w:highlight w:val="none"/>
              </w:rPr>
              <w:t>序号</w:t>
            </w:r>
          </w:p>
        </w:tc>
        <w:tc>
          <w:tcPr>
            <w:tcW w:w="1474" w:type="dxa"/>
            <w:vAlign w:val="center"/>
          </w:tcPr>
          <w:p w14:paraId="73EFF925">
            <w:pPr>
              <w:pStyle w:val="6"/>
              <w:spacing w:line="360" w:lineRule="auto"/>
              <w:jc w:val="center"/>
              <w:rPr>
                <w:rFonts w:hint="eastAsia"/>
                <w:color w:val="auto"/>
                <w:highlight w:val="none"/>
              </w:rPr>
            </w:pPr>
            <w:r>
              <w:rPr>
                <w:rFonts w:hint="eastAsia"/>
                <w:color w:val="auto"/>
                <w:highlight w:val="none"/>
              </w:rPr>
              <w:t>服务名称</w:t>
            </w:r>
          </w:p>
        </w:tc>
        <w:tc>
          <w:tcPr>
            <w:tcW w:w="2473" w:type="dxa"/>
            <w:vAlign w:val="center"/>
          </w:tcPr>
          <w:p w14:paraId="0779501E">
            <w:pPr>
              <w:pStyle w:val="6"/>
              <w:spacing w:line="360" w:lineRule="auto"/>
              <w:jc w:val="center"/>
              <w:rPr>
                <w:rFonts w:hint="eastAsia"/>
                <w:color w:val="auto"/>
                <w:highlight w:val="none"/>
              </w:rPr>
            </w:pPr>
            <w:r>
              <w:rPr>
                <w:rFonts w:hint="eastAsia"/>
                <w:color w:val="auto"/>
                <w:highlight w:val="none"/>
              </w:rPr>
              <w:t>服务内容</w:t>
            </w:r>
          </w:p>
        </w:tc>
        <w:tc>
          <w:tcPr>
            <w:tcW w:w="1259" w:type="dxa"/>
            <w:vAlign w:val="center"/>
          </w:tcPr>
          <w:p w14:paraId="2DC852D2">
            <w:pPr>
              <w:pStyle w:val="6"/>
              <w:spacing w:line="360" w:lineRule="auto"/>
              <w:jc w:val="center"/>
              <w:rPr>
                <w:rFonts w:hint="eastAsia"/>
                <w:color w:val="auto"/>
                <w:highlight w:val="none"/>
              </w:rPr>
            </w:pPr>
            <w:r>
              <w:rPr>
                <w:rFonts w:hint="eastAsia"/>
                <w:color w:val="auto"/>
                <w:highlight w:val="none"/>
              </w:rPr>
              <w:t>计量单位</w:t>
            </w:r>
          </w:p>
        </w:tc>
        <w:tc>
          <w:tcPr>
            <w:tcW w:w="1305" w:type="dxa"/>
            <w:vAlign w:val="center"/>
          </w:tcPr>
          <w:p w14:paraId="2EBBB6F4">
            <w:pPr>
              <w:pStyle w:val="6"/>
              <w:spacing w:line="360" w:lineRule="auto"/>
              <w:jc w:val="center"/>
              <w:rPr>
                <w:rFonts w:hint="eastAsia"/>
                <w:color w:val="auto"/>
                <w:highlight w:val="none"/>
              </w:rPr>
            </w:pPr>
            <w:r>
              <w:rPr>
                <w:rFonts w:hint="eastAsia"/>
                <w:color w:val="auto"/>
                <w:highlight w:val="none"/>
              </w:rPr>
              <w:t>服务时间</w:t>
            </w:r>
          </w:p>
        </w:tc>
        <w:tc>
          <w:tcPr>
            <w:tcW w:w="809" w:type="dxa"/>
            <w:vAlign w:val="center"/>
          </w:tcPr>
          <w:p w14:paraId="3115037A">
            <w:pPr>
              <w:pStyle w:val="6"/>
              <w:spacing w:line="360" w:lineRule="auto"/>
              <w:jc w:val="center"/>
              <w:rPr>
                <w:rFonts w:hint="eastAsia"/>
                <w:color w:val="auto"/>
                <w:highlight w:val="none"/>
              </w:rPr>
            </w:pPr>
            <w:r>
              <w:rPr>
                <w:rFonts w:hint="eastAsia"/>
                <w:color w:val="auto"/>
                <w:highlight w:val="none"/>
              </w:rPr>
              <w:t>数量</w:t>
            </w:r>
          </w:p>
        </w:tc>
        <w:tc>
          <w:tcPr>
            <w:tcW w:w="785" w:type="dxa"/>
            <w:vAlign w:val="center"/>
          </w:tcPr>
          <w:p w14:paraId="4CD97C00">
            <w:pPr>
              <w:pStyle w:val="6"/>
              <w:spacing w:line="360" w:lineRule="auto"/>
              <w:jc w:val="center"/>
              <w:rPr>
                <w:rFonts w:hint="eastAsia"/>
                <w:color w:val="auto"/>
                <w:highlight w:val="none"/>
              </w:rPr>
            </w:pPr>
            <w:r>
              <w:rPr>
                <w:rFonts w:hint="eastAsia"/>
                <w:color w:val="auto"/>
                <w:highlight w:val="none"/>
              </w:rPr>
              <w:t>备注</w:t>
            </w:r>
          </w:p>
        </w:tc>
      </w:tr>
      <w:tr w14:paraId="5A79B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744" w:type="dxa"/>
            <w:vAlign w:val="center"/>
          </w:tcPr>
          <w:p w14:paraId="711AEB2A">
            <w:pPr>
              <w:pStyle w:val="6"/>
              <w:spacing w:line="360" w:lineRule="auto"/>
              <w:jc w:val="center"/>
              <w:rPr>
                <w:rFonts w:hint="eastAsia"/>
                <w:color w:val="auto"/>
                <w:highlight w:val="none"/>
              </w:rPr>
            </w:pPr>
            <w:r>
              <w:rPr>
                <w:rFonts w:hint="eastAsia"/>
                <w:color w:val="auto"/>
                <w:highlight w:val="none"/>
              </w:rPr>
              <w:t>1</w:t>
            </w:r>
          </w:p>
        </w:tc>
        <w:tc>
          <w:tcPr>
            <w:tcW w:w="1474" w:type="dxa"/>
            <w:vAlign w:val="center"/>
          </w:tcPr>
          <w:p w14:paraId="0C5C313D">
            <w:pPr>
              <w:pStyle w:val="6"/>
              <w:spacing w:line="360" w:lineRule="auto"/>
              <w:jc w:val="center"/>
              <w:rPr>
                <w:rFonts w:hint="eastAsia"/>
                <w:color w:val="auto"/>
                <w:highlight w:val="none"/>
              </w:rPr>
            </w:pPr>
          </w:p>
        </w:tc>
        <w:tc>
          <w:tcPr>
            <w:tcW w:w="2473" w:type="dxa"/>
            <w:vAlign w:val="center"/>
          </w:tcPr>
          <w:p w14:paraId="6826A785">
            <w:pPr>
              <w:pStyle w:val="6"/>
              <w:spacing w:line="360" w:lineRule="auto"/>
              <w:jc w:val="center"/>
              <w:rPr>
                <w:rFonts w:hint="eastAsia"/>
                <w:color w:val="auto"/>
                <w:highlight w:val="none"/>
              </w:rPr>
            </w:pPr>
          </w:p>
        </w:tc>
        <w:tc>
          <w:tcPr>
            <w:tcW w:w="1259" w:type="dxa"/>
            <w:vAlign w:val="center"/>
          </w:tcPr>
          <w:p w14:paraId="01462AF2">
            <w:pPr>
              <w:pStyle w:val="6"/>
              <w:spacing w:line="360" w:lineRule="auto"/>
              <w:jc w:val="center"/>
              <w:rPr>
                <w:rFonts w:hint="eastAsia"/>
                <w:color w:val="auto"/>
                <w:highlight w:val="none"/>
              </w:rPr>
            </w:pPr>
          </w:p>
        </w:tc>
        <w:tc>
          <w:tcPr>
            <w:tcW w:w="1305" w:type="dxa"/>
            <w:vAlign w:val="center"/>
          </w:tcPr>
          <w:p w14:paraId="540C6ED8">
            <w:pPr>
              <w:pStyle w:val="6"/>
              <w:spacing w:line="360" w:lineRule="auto"/>
              <w:jc w:val="center"/>
              <w:rPr>
                <w:rFonts w:hint="eastAsia"/>
                <w:color w:val="auto"/>
                <w:highlight w:val="none"/>
              </w:rPr>
            </w:pPr>
          </w:p>
        </w:tc>
        <w:tc>
          <w:tcPr>
            <w:tcW w:w="809" w:type="dxa"/>
            <w:vAlign w:val="center"/>
          </w:tcPr>
          <w:p w14:paraId="318FC973">
            <w:pPr>
              <w:pStyle w:val="6"/>
              <w:spacing w:line="360" w:lineRule="auto"/>
              <w:jc w:val="center"/>
              <w:rPr>
                <w:rFonts w:hint="eastAsia"/>
                <w:color w:val="auto"/>
                <w:highlight w:val="none"/>
              </w:rPr>
            </w:pPr>
          </w:p>
        </w:tc>
        <w:tc>
          <w:tcPr>
            <w:tcW w:w="785" w:type="dxa"/>
            <w:vAlign w:val="center"/>
          </w:tcPr>
          <w:p w14:paraId="024BC3F6">
            <w:pPr>
              <w:pStyle w:val="6"/>
              <w:spacing w:line="360" w:lineRule="auto"/>
              <w:jc w:val="center"/>
              <w:rPr>
                <w:rFonts w:hint="eastAsia"/>
                <w:color w:val="auto"/>
                <w:highlight w:val="none"/>
              </w:rPr>
            </w:pPr>
          </w:p>
        </w:tc>
      </w:tr>
      <w:tr w14:paraId="509D4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744" w:type="dxa"/>
            <w:vAlign w:val="center"/>
          </w:tcPr>
          <w:p w14:paraId="120B1B88">
            <w:pPr>
              <w:pStyle w:val="6"/>
              <w:spacing w:line="360" w:lineRule="auto"/>
              <w:jc w:val="center"/>
              <w:rPr>
                <w:rFonts w:hint="eastAsia"/>
                <w:color w:val="auto"/>
                <w:highlight w:val="none"/>
              </w:rPr>
            </w:pPr>
            <w:r>
              <w:rPr>
                <w:rFonts w:hint="eastAsia"/>
                <w:color w:val="auto"/>
                <w:highlight w:val="none"/>
              </w:rPr>
              <w:t>合计</w:t>
            </w:r>
          </w:p>
        </w:tc>
        <w:tc>
          <w:tcPr>
            <w:tcW w:w="8105" w:type="dxa"/>
            <w:gridSpan w:val="6"/>
            <w:vAlign w:val="center"/>
          </w:tcPr>
          <w:p w14:paraId="31E283D4">
            <w:pPr>
              <w:pStyle w:val="6"/>
              <w:spacing w:line="360" w:lineRule="auto"/>
              <w:jc w:val="center"/>
              <w:rPr>
                <w:rFonts w:hint="eastAsia"/>
                <w:color w:val="auto"/>
                <w:highlight w:val="none"/>
              </w:rPr>
            </w:pPr>
          </w:p>
        </w:tc>
      </w:tr>
      <w:tr w14:paraId="450BA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744" w:type="dxa"/>
            <w:vAlign w:val="center"/>
          </w:tcPr>
          <w:p w14:paraId="55985463">
            <w:pPr>
              <w:pStyle w:val="6"/>
              <w:spacing w:line="360" w:lineRule="auto"/>
              <w:jc w:val="center"/>
              <w:rPr>
                <w:rFonts w:hint="eastAsia"/>
                <w:color w:val="auto"/>
                <w:highlight w:val="none"/>
              </w:rPr>
            </w:pPr>
            <w:r>
              <w:rPr>
                <w:rFonts w:hint="eastAsia"/>
                <w:color w:val="auto"/>
                <w:highlight w:val="none"/>
              </w:rPr>
              <w:t>说明</w:t>
            </w:r>
          </w:p>
        </w:tc>
        <w:tc>
          <w:tcPr>
            <w:tcW w:w="8105" w:type="dxa"/>
            <w:gridSpan w:val="6"/>
            <w:vAlign w:val="center"/>
          </w:tcPr>
          <w:p w14:paraId="00616DFD">
            <w:pPr>
              <w:pStyle w:val="6"/>
              <w:spacing w:line="360" w:lineRule="auto"/>
              <w:jc w:val="center"/>
              <w:rPr>
                <w:rFonts w:hint="eastAsia"/>
                <w:color w:val="auto"/>
                <w:highlight w:val="none"/>
              </w:rPr>
            </w:pPr>
            <w:r>
              <w:rPr>
                <w:rFonts w:hint="eastAsia"/>
                <w:color w:val="auto"/>
                <w:highlight w:val="none"/>
              </w:rPr>
              <w:t>1、服务内容和范围详见《竞争性磋商文件》、《响应文件》和承诺。</w:t>
            </w:r>
          </w:p>
        </w:tc>
      </w:tr>
    </w:tbl>
    <w:p w14:paraId="0D8FA4CE">
      <w:pPr>
        <w:pStyle w:val="6"/>
        <w:spacing w:line="360" w:lineRule="auto"/>
        <w:ind w:firstLine="480"/>
        <w:rPr>
          <w:rFonts w:hint="eastAsia"/>
          <w:color w:val="auto"/>
          <w:highlight w:val="none"/>
        </w:rPr>
      </w:pPr>
    </w:p>
    <w:p w14:paraId="15D33990">
      <w:pPr>
        <w:pStyle w:val="6"/>
        <w:spacing w:line="360" w:lineRule="auto"/>
        <w:ind w:firstLine="480"/>
        <w:rPr>
          <w:rFonts w:hint="eastAsia"/>
          <w:color w:val="auto"/>
          <w:highlight w:val="none"/>
        </w:rPr>
      </w:pPr>
      <w:r>
        <w:rPr>
          <w:rFonts w:hint="eastAsia"/>
          <w:color w:val="auto"/>
          <w:highlight w:val="none"/>
        </w:rPr>
        <w:t>二、服务条件：</w:t>
      </w:r>
    </w:p>
    <w:p w14:paraId="3E858182">
      <w:pPr>
        <w:pStyle w:val="6"/>
        <w:spacing w:line="360" w:lineRule="auto"/>
        <w:ind w:firstLine="480"/>
        <w:rPr>
          <w:rFonts w:hint="eastAsia"/>
          <w:color w:val="auto"/>
          <w:highlight w:val="none"/>
        </w:rPr>
      </w:pPr>
      <w:r>
        <w:rPr>
          <w:rFonts w:hint="eastAsia"/>
          <w:color w:val="auto"/>
          <w:highlight w:val="none"/>
        </w:rPr>
        <w:t>（一）服务地点：西安市雁塔区明德一路 123号。</w:t>
      </w:r>
    </w:p>
    <w:p w14:paraId="5B2AB064">
      <w:pPr>
        <w:pStyle w:val="6"/>
        <w:spacing w:line="360" w:lineRule="auto"/>
        <w:ind w:firstLine="480"/>
        <w:rPr>
          <w:rFonts w:hint="eastAsia"/>
          <w:color w:val="auto"/>
          <w:highlight w:val="none"/>
        </w:rPr>
      </w:pPr>
      <w:r>
        <w:rPr>
          <w:rFonts w:hint="eastAsia"/>
          <w:color w:val="auto"/>
          <w:highlight w:val="none"/>
        </w:rPr>
        <w:t>（二）服务期：1年。</w:t>
      </w:r>
    </w:p>
    <w:p w14:paraId="00405468">
      <w:pPr>
        <w:pStyle w:val="6"/>
        <w:spacing w:line="360" w:lineRule="auto"/>
        <w:ind w:firstLine="480"/>
        <w:rPr>
          <w:rFonts w:hint="eastAsia"/>
          <w:color w:val="auto"/>
          <w:highlight w:val="none"/>
        </w:rPr>
      </w:pPr>
      <w:r>
        <w:rPr>
          <w:rFonts w:hint="eastAsia"/>
          <w:color w:val="auto"/>
          <w:highlight w:val="none"/>
        </w:rPr>
        <w:t>三、合同价款</w:t>
      </w:r>
    </w:p>
    <w:p w14:paraId="590A64F8">
      <w:pPr>
        <w:pStyle w:val="6"/>
        <w:spacing w:line="360" w:lineRule="auto"/>
        <w:ind w:firstLine="480"/>
        <w:rPr>
          <w:rFonts w:hint="eastAsia"/>
          <w:color w:val="auto"/>
          <w:highlight w:val="none"/>
        </w:rPr>
      </w:pPr>
      <w:r>
        <w:rPr>
          <w:rFonts w:hint="eastAsia"/>
          <w:color w:val="auto"/>
          <w:highlight w:val="none"/>
        </w:rPr>
        <w:t>（一）合同总价款为人民币（大写）       ；</w:t>
      </w:r>
      <w:r>
        <w:rPr>
          <w:rFonts w:hint="eastAsia"/>
          <w:color w:val="auto"/>
          <w:highlight w:val="none"/>
          <w:lang w:val="en-US" w:eastAsia="zh-CN"/>
        </w:rPr>
        <w:t>¥</w:t>
      </w:r>
      <w:r>
        <w:rPr>
          <w:rFonts w:hint="eastAsia"/>
          <w:color w:val="auto"/>
          <w:highlight w:val="none"/>
        </w:rPr>
        <w:t xml:space="preserve">         元。</w:t>
      </w:r>
    </w:p>
    <w:p w14:paraId="4812C263">
      <w:pPr>
        <w:pStyle w:val="6"/>
        <w:spacing w:line="360" w:lineRule="auto"/>
        <w:ind w:firstLine="480"/>
        <w:rPr>
          <w:rFonts w:hint="eastAsia"/>
          <w:color w:val="auto"/>
          <w:highlight w:val="none"/>
        </w:rPr>
      </w:pPr>
      <w:r>
        <w:rPr>
          <w:rFonts w:hint="eastAsia"/>
          <w:color w:val="auto"/>
          <w:highlight w:val="none"/>
        </w:rPr>
        <w:t>（二）合同总价包括：本项目所有服务内容。</w:t>
      </w:r>
    </w:p>
    <w:p w14:paraId="1A636D67">
      <w:pPr>
        <w:pStyle w:val="6"/>
        <w:spacing w:line="360" w:lineRule="auto"/>
        <w:ind w:firstLine="480"/>
        <w:rPr>
          <w:rFonts w:hint="eastAsia"/>
          <w:color w:val="auto"/>
          <w:highlight w:val="none"/>
        </w:rPr>
      </w:pPr>
      <w:r>
        <w:rPr>
          <w:rFonts w:hint="eastAsia"/>
          <w:color w:val="auto"/>
          <w:highlight w:val="none"/>
        </w:rPr>
        <w:t>（三）</w:t>
      </w:r>
      <w:r>
        <w:rPr>
          <w:rFonts w:hint="eastAsia"/>
          <w:color w:val="auto"/>
          <w:highlight w:val="none"/>
          <w:lang w:eastAsia="zh-CN"/>
        </w:rPr>
        <w:t>合同总价为</w:t>
      </w:r>
      <w:r>
        <w:rPr>
          <w:rFonts w:hint="eastAsia"/>
          <w:color w:val="auto"/>
          <w:highlight w:val="none"/>
        </w:rPr>
        <w:t>固定不变价格，不受市场价格变化因素的影响。</w:t>
      </w:r>
    </w:p>
    <w:p w14:paraId="215DC15A">
      <w:pPr>
        <w:pStyle w:val="6"/>
        <w:spacing w:line="360" w:lineRule="auto"/>
        <w:ind w:firstLine="480"/>
        <w:rPr>
          <w:rFonts w:hint="eastAsia"/>
          <w:color w:val="auto"/>
          <w:highlight w:val="none"/>
        </w:rPr>
      </w:pPr>
      <w:r>
        <w:rPr>
          <w:rFonts w:hint="eastAsia"/>
          <w:color w:val="auto"/>
          <w:highlight w:val="none"/>
        </w:rPr>
        <w:t>四、款项结算</w:t>
      </w:r>
    </w:p>
    <w:p w14:paraId="70258AB6">
      <w:pPr>
        <w:pStyle w:val="6"/>
        <w:spacing w:line="360" w:lineRule="auto"/>
        <w:ind w:firstLine="480"/>
        <w:rPr>
          <w:rFonts w:hint="eastAsia"/>
          <w:color w:val="auto"/>
          <w:highlight w:val="none"/>
        </w:rPr>
      </w:pPr>
      <w:r>
        <w:rPr>
          <w:rFonts w:hint="eastAsia"/>
          <w:color w:val="auto"/>
          <w:highlight w:val="none"/>
        </w:rPr>
        <w:t>（一）合同签订后人员进场，经甲方确认后支付合同价款的80%，服务期满后经甲方验收合格支付剩余的20%。</w:t>
      </w:r>
    </w:p>
    <w:p w14:paraId="660E6E6D">
      <w:pPr>
        <w:pStyle w:val="6"/>
        <w:spacing w:line="360" w:lineRule="auto"/>
        <w:ind w:firstLine="480"/>
        <w:rPr>
          <w:rFonts w:hint="eastAsia"/>
          <w:color w:val="auto"/>
          <w:highlight w:val="none"/>
        </w:rPr>
      </w:pPr>
      <w:r>
        <w:rPr>
          <w:rFonts w:hint="eastAsia"/>
          <w:color w:val="auto"/>
          <w:highlight w:val="none"/>
        </w:rPr>
        <w:t>（二）支付方式：银行转账。</w:t>
      </w:r>
    </w:p>
    <w:p w14:paraId="37074058">
      <w:pPr>
        <w:pStyle w:val="6"/>
        <w:spacing w:line="360" w:lineRule="auto"/>
        <w:ind w:firstLine="480"/>
        <w:rPr>
          <w:rFonts w:hint="eastAsia"/>
          <w:color w:val="auto"/>
          <w:highlight w:val="none"/>
        </w:rPr>
      </w:pPr>
      <w:r>
        <w:rPr>
          <w:rFonts w:hint="eastAsia"/>
          <w:color w:val="auto"/>
          <w:highlight w:val="none"/>
        </w:rPr>
        <w:t>（二）支付方式：银行转账。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080"/>
      </w:tblGrid>
      <w:tr w14:paraId="7A8C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80" w:type="dxa"/>
          </w:tcPr>
          <w:p w14:paraId="30E7298F">
            <w:pPr>
              <w:pStyle w:val="6"/>
              <w:widowControl w:val="0"/>
              <w:spacing w:line="360" w:lineRule="auto"/>
              <w:jc w:val="both"/>
              <w:rPr>
                <w:rFonts w:hint="eastAsia"/>
                <w:color w:val="auto"/>
                <w:highlight w:val="none"/>
                <w:lang w:eastAsia="zh-CN"/>
              </w:rPr>
            </w:pPr>
            <w:r>
              <w:rPr>
                <w:rFonts w:hint="eastAsia"/>
                <w:color w:val="auto"/>
                <w:highlight w:val="none"/>
                <w:lang w:eastAsia="zh-CN"/>
              </w:rPr>
              <w:t>甲方名称：西安烈士陵园</w:t>
            </w:r>
          </w:p>
          <w:p w14:paraId="0F3BAD49">
            <w:pPr>
              <w:pStyle w:val="6"/>
              <w:widowControl w:val="0"/>
              <w:spacing w:line="360" w:lineRule="auto"/>
              <w:jc w:val="both"/>
              <w:rPr>
                <w:rFonts w:hint="eastAsia"/>
                <w:color w:val="auto"/>
                <w:highlight w:val="none"/>
                <w:lang w:eastAsia="zh-CN"/>
              </w:rPr>
            </w:pPr>
            <w:r>
              <w:rPr>
                <w:rFonts w:hint="eastAsia"/>
                <w:color w:val="auto"/>
                <w:highlight w:val="none"/>
                <w:lang w:eastAsia="zh-CN"/>
              </w:rPr>
              <w:t>开户行：</w:t>
            </w:r>
          </w:p>
          <w:p w14:paraId="635B1B5E">
            <w:pPr>
              <w:pStyle w:val="6"/>
              <w:widowControl w:val="0"/>
              <w:spacing w:line="360" w:lineRule="auto"/>
              <w:jc w:val="both"/>
              <w:rPr>
                <w:rFonts w:hint="eastAsia"/>
                <w:color w:val="auto"/>
                <w:highlight w:val="none"/>
                <w:lang w:eastAsia="zh-CN"/>
              </w:rPr>
            </w:pPr>
            <w:r>
              <w:rPr>
                <w:rFonts w:hint="eastAsia"/>
                <w:color w:val="auto"/>
                <w:highlight w:val="none"/>
                <w:lang w:eastAsia="zh-CN"/>
              </w:rPr>
              <w:t>银行账号：</w:t>
            </w:r>
          </w:p>
          <w:p w14:paraId="13EC5457">
            <w:pPr>
              <w:pStyle w:val="6"/>
              <w:widowControl w:val="0"/>
              <w:spacing w:line="360" w:lineRule="auto"/>
              <w:jc w:val="both"/>
              <w:rPr>
                <w:rFonts w:hint="eastAsia"/>
                <w:color w:val="auto"/>
                <w:highlight w:val="none"/>
                <w:lang w:eastAsia="zh-CN"/>
              </w:rPr>
            </w:pPr>
            <w:r>
              <w:rPr>
                <w:rFonts w:hint="eastAsia"/>
                <w:color w:val="auto"/>
                <w:highlight w:val="none"/>
                <w:lang w:eastAsia="zh-CN"/>
              </w:rPr>
              <w:t>地址：</w:t>
            </w:r>
          </w:p>
          <w:p w14:paraId="3F9705B9">
            <w:pPr>
              <w:pStyle w:val="6"/>
              <w:widowControl w:val="0"/>
              <w:spacing w:line="360" w:lineRule="auto"/>
              <w:jc w:val="both"/>
              <w:rPr>
                <w:rFonts w:hint="eastAsia"/>
                <w:color w:val="auto"/>
                <w:highlight w:val="none"/>
                <w:vertAlign w:val="baseline"/>
                <w:lang w:eastAsia="zh-CN"/>
              </w:rPr>
            </w:pPr>
            <w:r>
              <w:rPr>
                <w:rFonts w:hint="eastAsia"/>
                <w:color w:val="auto"/>
                <w:highlight w:val="none"/>
                <w:lang w:eastAsia="zh-CN"/>
              </w:rPr>
              <w:t>联系电话：</w:t>
            </w:r>
          </w:p>
        </w:tc>
        <w:tc>
          <w:tcPr>
            <w:tcW w:w="4080" w:type="dxa"/>
          </w:tcPr>
          <w:p w14:paraId="3A562D55">
            <w:pPr>
              <w:pStyle w:val="6"/>
              <w:widowControl w:val="0"/>
              <w:spacing w:line="360" w:lineRule="auto"/>
              <w:jc w:val="both"/>
              <w:rPr>
                <w:rFonts w:hint="eastAsia"/>
                <w:color w:val="auto"/>
                <w:highlight w:val="none"/>
                <w:lang w:eastAsia="zh-CN"/>
              </w:rPr>
            </w:pPr>
            <w:r>
              <w:rPr>
                <w:rFonts w:hint="eastAsia"/>
                <w:color w:val="auto"/>
                <w:highlight w:val="none"/>
                <w:lang w:eastAsia="zh-CN"/>
              </w:rPr>
              <w:t>乙方名称：</w:t>
            </w:r>
          </w:p>
          <w:p w14:paraId="47A5AB45">
            <w:pPr>
              <w:pStyle w:val="6"/>
              <w:widowControl w:val="0"/>
              <w:spacing w:line="360" w:lineRule="auto"/>
              <w:jc w:val="both"/>
              <w:rPr>
                <w:rFonts w:hint="eastAsia"/>
                <w:color w:val="auto"/>
                <w:highlight w:val="none"/>
                <w:lang w:eastAsia="zh-CN"/>
              </w:rPr>
            </w:pPr>
            <w:r>
              <w:rPr>
                <w:rFonts w:hint="eastAsia"/>
                <w:color w:val="auto"/>
                <w:highlight w:val="none"/>
                <w:lang w:eastAsia="zh-CN"/>
              </w:rPr>
              <w:t>开户行：</w:t>
            </w:r>
          </w:p>
          <w:p w14:paraId="61C458C5">
            <w:pPr>
              <w:pStyle w:val="6"/>
              <w:widowControl w:val="0"/>
              <w:spacing w:line="360" w:lineRule="auto"/>
              <w:jc w:val="both"/>
              <w:rPr>
                <w:rFonts w:hint="eastAsia"/>
                <w:color w:val="auto"/>
                <w:highlight w:val="none"/>
                <w:lang w:eastAsia="zh-CN"/>
              </w:rPr>
            </w:pPr>
            <w:r>
              <w:rPr>
                <w:rFonts w:hint="eastAsia"/>
                <w:color w:val="auto"/>
                <w:highlight w:val="none"/>
                <w:lang w:eastAsia="zh-CN"/>
              </w:rPr>
              <w:t>银行账号：</w:t>
            </w:r>
          </w:p>
          <w:p w14:paraId="1B90C158">
            <w:pPr>
              <w:pStyle w:val="6"/>
              <w:widowControl w:val="0"/>
              <w:spacing w:line="360" w:lineRule="auto"/>
              <w:jc w:val="both"/>
              <w:rPr>
                <w:rFonts w:hint="eastAsia"/>
                <w:color w:val="auto"/>
                <w:highlight w:val="none"/>
                <w:lang w:eastAsia="zh-CN"/>
              </w:rPr>
            </w:pPr>
            <w:r>
              <w:rPr>
                <w:rFonts w:hint="eastAsia"/>
                <w:color w:val="auto"/>
                <w:highlight w:val="none"/>
                <w:lang w:eastAsia="zh-CN"/>
              </w:rPr>
              <w:t>地址：</w:t>
            </w:r>
          </w:p>
          <w:p w14:paraId="04F9E43A">
            <w:pPr>
              <w:pStyle w:val="6"/>
              <w:widowControl w:val="0"/>
              <w:spacing w:line="360" w:lineRule="auto"/>
              <w:jc w:val="both"/>
              <w:rPr>
                <w:rFonts w:hint="eastAsia"/>
                <w:color w:val="auto"/>
                <w:highlight w:val="none"/>
                <w:vertAlign w:val="baseline"/>
                <w:lang w:eastAsia="zh-CN"/>
              </w:rPr>
            </w:pPr>
            <w:r>
              <w:rPr>
                <w:rFonts w:hint="eastAsia"/>
                <w:color w:val="auto"/>
                <w:highlight w:val="none"/>
                <w:lang w:eastAsia="zh-CN"/>
              </w:rPr>
              <w:t>联系电话：</w:t>
            </w:r>
          </w:p>
        </w:tc>
      </w:tr>
    </w:tbl>
    <w:p w14:paraId="353603AB">
      <w:pPr>
        <w:pStyle w:val="6"/>
        <w:spacing w:line="360" w:lineRule="auto"/>
        <w:ind w:firstLine="480"/>
        <w:rPr>
          <w:rFonts w:hint="eastAsia"/>
          <w:color w:val="auto"/>
          <w:highlight w:val="none"/>
        </w:rPr>
      </w:pPr>
      <w:r>
        <w:rPr>
          <w:rFonts w:hint="eastAsia"/>
          <w:color w:val="auto"/>
          <w:highlight w:val="none"/>
        </w:rPr>
        <w:t>（三）结算方式：乙方持成交通知书、服务合同、正式发票，与甲方结算。</w:t>
      </w:r>
    </w:p>
    <w:p w14:paraId="338BAEDA">
      <w:pPr>
        <w:pStyle w:val="6"/>
        <w:spacing w:line="360" w:lineRule="auto"/>
        <w:ind w:firstLine="480"/>
        <w:rPr>
          <w:rFonts w:hint="eastAsia"/>
          <w:color w:val="auto"/>
          <w:highlight w:val="none"/>
        </w:rPr>
      </w:pPr>
      <w:r>
        <w:rPr>
          <w:rFonts w:hint="eastAsia"/>
          <w:color w:val="auto"/>
          <w:highlight w:val="none"/>
        </w:rPr>
        <w:t>五、双方的权利和义务</w:t>
      </w:r>
    </w:p>
    <w:p w14:paraId="7AE096B6">
      <w:pPr>
        <w:pStyle w:val="6"/>
        <w:spacing w:line="360" w:lineRule="auto"/>
        <w:ind w:firstLine="480"/>
        <w:rPr>
          <w:rFonts w:hint="eastAsia"/>
          <w:color w:val="auto"/>
          <w:highlight w:val="none"/>
        </w:rPr>
      </w:pPr>
      <w:r>
        <w:rPr>
          <w:rFonts w:hint="eastAsia"/>
          <w:color w:val="auto"/>
          <w:highlight w:val="none"/>
        </w:rPr>
        <w:t>（一）甲方的权利和义务</w:t>
      </w:r>
    </w:p>
    <w:p w14:paraId="6983D315">
      <w:pPr>
        <w:pStyle w:val="6"/>
        <w:spacing w:line="360" w:lineRule="auto"/>
        <w:ind w:firstLine="480"/>
        <w:rPr>
          <w:rFonts w:hint="eastAsia"/>
          <w:color w:val="auto"/>
          <w:highlight w:val="none"/>
        </w:rPr>
      </w:pPr>
      <w:r>
        <w:rPr>
          <w:rFonts w:hint="eastAsia"/>
          <w:color w:val="auto"/>
          <w:highlight w:val="none"/>
        </w:rPr>
        <w:drawing>
          <wp:anchor distT="0" distB="0" distL="0" distR="0" simplePos="0" relativeHeight="251659264" behindDoc="0" locked="0" layoutInCell="0" allowOverlap="1">
            <wp:simplePos x="0" y="0"/>
            <wp:positionH relativeFrom="page">
              <wp:posOffset>791210</wp:posOffset>
            </wp:positionH>
            <wp:positionV relativeFrom="page">
              <wp:posOffset>701040</wp:posOffset>
            </wp:positionV>
            <wp:extent cx="5976620" cy="12065"/>
            <wp:effectExtent l="0" t="0" r="5080" b="1905"/>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8"/>
                    <a:stretch>
                      <a:fillRect/>
                    </a:stretch>
                  </pic:blipFill>
                  <pic:spPr>
                    <a:xfrm>
                      <a:off x="0" y="0"/>
                      <a:ext cx="5976365" cy="12191"/>
                    </a:xfrm>
                    <a:prstGeom prst="rect">
                      <a:avLst/>
                    </a:prstGeom>
                  </pic:spPr>
                </pic:pic>
              </a:graphicData>
            </a:graphic>
          </wp:anchor>
        </w:drawing>
      </w:r>
      <w:r>
        <w:rPr>
          <w:rFonts w:hint="eastAsia"/>
          <w:color w:val="auto"/>
          <w:highlight w:val="none"/>
        </w:rPr>
        <w:t>甲方有权对乙方承诺的服务事项进行监督并提出合理化建议。对乙方未按合同约定履行服务义务，有权要求乙方整改到位。如因乙方管</w:t>
      </w:r>
      <w:bookmarkStart w:id="0" w:name="_GoBack"/>
      <w:bookmarkEnd w:id="0"/>
      <w:r>
        <w:rPr>
          <w:rFonts w:hint="eastAsia"/>
          <w:color w:val="auto"/>
          <w:highlight w:val="none"/>
        </w:rPr>
        <w:t>理不善，造成重大经济损失或管理失误，甲方有权终止合同。</w:t>
      </w:r>
    </w:p>
    <w:p w14:paraId="03BB63F1">
      <w:pPr>
        <w:pStyle w:val="6"/>
        <w:spacing w:line="360" w:lineRule="auto"/>
        <w:ind w:firstLine="480"/>
        <w:rPr>
          <w:rFonts w:hint="eastAsia"/>
          <w:color w:val="auto"/>
          <w:highlight w:val="none"/>
        </w:rPr>
      </w:pPr>
      <w:r>
        <w:rPr>
          <w:rFonts w:hint="eastAsia"/>
          <w:color w:val="auto"/>
          <w:highlight w:val="none"/>
        </w:rPr>
        <w:t>（二）乙方的权利和义务</w:t>
      </w:r>
    </w:p>
    <w:p w14:paraId="413BD421">
      <w:pPr>
        <w:pStyle w:val="6"/>
        <w:spacing w:line="360" w:lineRule="auto"/>
        <w:ind w:firstLine="480"/>
        <w:rPr>
          <w:rFonts w:hint="eastAsia"/>
          <w:color w:val="auto"/>
          <w:highlight w:val="none"/>
        </w:rPr>
      </w:pPr>
      <w:r>
        <w:rPr>
          <w:rFonts w:hint="eastAsia"/>
          <w:color w:val="auto"/>
          <w:highlight w:val="none"/>
        </w:rPr>
        <w:t>1、遵守各项管理法规和合同规定的责任要求，根据甲方要求，完成本项目的目标。</w:t>
      </w:r>
    </w:p>
    <w:p w14:paraId="067E93E3">
      <w:pPr>
        <w:pStyle w:val="6"/>
        <w:spacing w:line="360" w:lineRule="auto"/>
        <w:ind w:firstLine="480"/>
        <w:rPr>
          <w:rFonts w:hint="eastAsia"/>
          <w:color w:val="auto"/>
          <w:highlight w:val="none"/>
        </w:rPr>
      </w:pPr>
      <w:r>
        <w:rPr>
          <w:rFonts w:hint="eastAsia"/>
          <w:color w:val="auto"/>
          <w:highlight w:val="none"/>
        </w:rPr>
        <w:t>2、及时向甲方汇报工作情况。</w:t>
      </w:r>
    </w:p>
    <w:p w14:paraId="61DF74F4">
      <w:pPr>
        <w:pStyle w:val="6"/>
        <w:spacing w:line="360" w:lineRule="auto"/>
        <w:ind w:firstLine="480"/>
        <w:rPr>
          <w:rFonts w:hint="eastAsia"/>
          <w:color w:val="auto"/>
          <w:highlight w:val="none"/>
        </w:rPr>
      </w:pPr>
      <w:r>
        <w:rPr>
          <w:rFonts w:hint="eastAsia"/>
          <w:color w:val="auto"/>
          <w:highlight w:val="none"/>
        </w:rPr>
        <w:t>3、本合同执行期间，如遇不可抗力，致使合同无法履行时，双方应按有关法律规定及时协商处理。</w:t>
      </w:r>
    </w:p>
    <w:p w14:paraId="3D3C2616">
      <w:pPr>
        <w:pStyle w:val="6"/>
        <w:spacing w:line="360" w:lineRule="auto"/>
        <w:ind w:firstLine="480"/>
        <w:rPr>
          <w:rFonts w:hint="eastAsia"/>
          <w:color w:val="auto"/>
          <w:highlight w:val="none"/>
        </w:rPr>
      </w:pPr>
      <w:r>
        <w:rPr>
          <w:rFonts w:hint="eastAsia"/>
          <w:color w:val="auto"/>
          <w:highlight w:val="none"/>
        </w:rPr>
        <w:t>六、质量保证</w:t>
      </w:r>
    </w:p>
    <w:p w14:paraId="1958DF66">
      <w:pPr>
        <w:pStyle w:val="6"/>
        <w:spacing w:line="360" w:lineRule="auto"/>
        <w:ind w:firstLine="480"/>
        <w:rPr>
          <w:rFonts w:hint="eastAsia"/>
          <w:color w:val="auto"/>
          <w:highlight w:val="none"/>
        </w:rPr>
      </w:pPr>
      <w:r>
        <w:rPr>
          <w:rFonts w:hint="eastAsia"/>
          <w:color w:val="auto"/>
          <w:highlight w:val="none"/>
        </w:rPr>
        <w:t>乙方所供服务必须执行下列条款：</w:t>
      </w:r>
    </w:p>
    <w:p w14:paraId="042AFC36">
      <w:pPr>
        <w:pStyle w:val="6"/>
        <w:spacing w:line="360" w:lineRule="auto"/>
        <w:ind w:firstLine="480"/>
        <w:rPr>
          <w:rFonts w:hint="eastAsia"/>
          <w:color w:val="auto"/>
          <w:highlight w:val="none"/>
        </w:rPr>
      </w:pPr>
      <w:r>
        <w:rPr>
          <w:rFonts w:hint="eastAsia"/>
          <w:color w:val="auto"/>
          <w:highlight w:val="none"/>
        </w:rPr>
        <w:t>（一）服务方案和方式安全、可行，人员配置合理，全面满足要求。</w:t>
      </w:r>
    </w:p>
    <w:p w14:paraId="63228A35">
      <w:pPr>
        <w:pStyle w:val="6"/>
        <w:spacing w:line="360" w:lineRule="auto"/>
        <w:ind w:firstLine="480"/>
        <w:rPr>
          <w:rFonts w:hint="eastAsia"/>
          <w:color w:val="auto"/>
          <w:highlight w:val="none"/>
        </w:rPr>
      </w:pPr>
      <w:r>
        <w:rPr>
          <w:rFonts w:hint="eastAsia"/>
          <w:color w:val="auto"/>
          <w:highlight w:val="none"/>
        </w:rPr>
        <w:t>（二）在服务期限内，遵循零干扰服务。乙方不得干扰或阻碍甲方对该办公区域和公共区域的正常使用。</w:t>
      </w:r>
    </w:p>
    <w:p w14:paraId="6467FA00">
      <w:pPr>
        <w:pStyle w:val="6"/>
        <w:spacing w:line="360" w:lineRule="auto"/>
        <w:ind w:firstLine="480"/>
        <w:rPr>
          <w:rFonts w:hint="eastAsia"/>
          <w:color w:val="auto"/>
          <w:highlight w:val="none"/>
        </w:rPr>
      </w:pPr>
      <w:r>
        <w:rPr>
          <w:rFonts w:hint="eastAsia"/>
          <w:color w:val="auto"/>
          <w:highlight w:val="none"/>
        </w:rPr>
        <w:t>（三）乙方在提供服务时因维修、养护、管理不当或未尽义务， 导致甲方或第三方人身损害或财产损失的，应承担全部责任和费用。</w:t>
      </w:r>
    </w:p>
    <w:p w14:paraId="7A99157C">
      <w:pPr>
        <w:pStyle w:val="6"/>
        <w:spacing w:line="360" w:lineRule="auto"/>
        <w:ind w:firstLine="480"/>
        <w:rPr>
          <w:rFonts w:hint="eastAsia"/>
          <w:color w:val="auto"/>
          <w:highlight w:val="none"/>
        </w:rPr>
      </w:pPr>
      <w:r>
        <w:rPr>
          <w:rFonts w:hint="eastAsia"/>
          <w:color w:val="auto"/>
          <w:highlight w:val="none"/>
        </w:rPr>
        <w:t>七、验收</w:t>
      </w:r>
    </w:p>
    <w:p w14:paraId="762A8AC5">
      <w:pPr>
        <w:pStyle w:val="6"/>
        <w:spacing w:line="360" w:lineRule="auto"/>
        <w:ind w:firstLine="480"/>
        <w:rPr>
          <w:rFonts w:hint="eastAsia"/>
          <w:color w:val="auto"/>
          <w:highlight w:val="none"/>
        </w:rPr>
      </w:pPr>
      <w:r>
        <w:rPr>
          <w:rFonts w:hint="eastAsia"/>
          <w:color w:val="auto"/>
          <w:highlight w:val="none"/>
        </w:rPr>
        <w:t>（一）服务期满后，甲方对本项目的实施情况进行验收，由乙方提供日常养护相关工作资料，经甲方确认是否达到采购要求。验收合格后，填写项目验收单。</w:t>
      </w:r>
    </w:p>
    <w:p w14:paraId="36F4FE27">
      <w:pPr>
        <w:pStyle w:val="6"/>
        <w:spacing w:line="360" w:lineRule="auto"/>
        <w:ind w:firstLine="480"/>
        <w:rPr>
          <w:rFonts w:hint="eastAsia"/>
          <w:color w:val="auto"/>
          <w:highlight w:val="none"/>
        </w:rPr>
      </w:pPr>
      <w:r>
        <w:rPr>
          <w:rFonts w:hint="eastAsia"/>
          <w:color w:val="auto"/>
          <w:highlight w:val="none"/>
        </w:rPr>
        <w:t>（二）验收依据</w:t>
      </w:r>
    </w:p>
    <w:p w14:paraId="2DEA82A2">
      <w:pPr>
        <w:pStyle w:val="6"/>
        <w:spacing w:line="360" w:lineRule="auto"/>
        <w:ind w:firstLine="480"/>
        <w:rPr>
          <w:rFonts w:hint="eastAsia"/>
          <w:color w:val="auto"/>
          <w:highlight w:val="none"/>
        </w:rPr>
      </w:pPr>
      <w:r>
        <w:rPr>
          <w:rFonts w:hint="eastAsia"/>
          <w:color w:val="auto"/>
          <w:highlight w:val="none"/>
        </w:rPr>
        <w:t>1、磋商文件、响应文件、澄清表（函）；</w:t>
      </w:r>
    </w:p>
    <w:p w14:paraId="01C7AF1B">
      <w:pPr>
        <w:pStyle w:val="6"/>
        <w:spacing w:line="360" w:lineRule="auto"/>
        <w:ind w:firstLine="480"/>
        <w:rPr>
          <w:rFonts w:hint="eastAsia"/>
          <w:color w:val="auto"/>
          <w:highlight w:val="none"/>
        </w:rPr>
      </w:pPr>
      <w:r>
        <w:rPr>
          <w:rFonts w:hint="eastAsia"/>
          <w:color w:val="auto"/>
          <w:highlight w:val="none"/>
        </w:rPr>
        <w:t>2、本合同及附件文本；</w:t>
      </w:r>
    </w:p>
    <w:p w14:paraId="7C7E1565">
      <w:pPr>
        <w:pStyle w:val="6"/>
        <w:spacing w:line="360" w:lineRule="auto"/>
        <w:ind w:firstLine="480"/>
        <w:rPr>
          <w:rFonts w:hint="eastAsia"/>
          <w:color w:val="auto"/>
          <w:highlight w:val="none"/>
        </w:rPr>
      </w:pPr>
      <w:r>
        <w:rPr>
          <w:rFonts w:hint="eastAsia"/>
          <w:color w:val="auto"/>
          <w:highlight w:val="none"/>
        </w:rPr>
        <w:t>3、合同签订时国家及行业现行的标准和技术规范。</w:t>
      </w:r>
    </w:p>
    <w:p w14:paraId="2A2C4E34">
      <w:pPr>
        <w:pStyle w:val="6"/>
        <w:spacing w:line="360" w:lineRule="auto"/>
        <w:ind w:firstLine="480"/>
        <w:rPr>
          <w:rFonts w:hint="eastAsia"/>
          <w:color w:val="auto"/>
          <w:highlight w:val="none"/>
        </w:rPr>
      </w:pPr>
      <w:r>
        <w:rPr>
          <w:rFonts w:hint="eastAsia"/>
          <w:color w:val="auto"/>
          <w:highlight w:val="none"/>
        </w:rPr>
        <w:t>八、违约责任</w:t>
      </w:r>
    </w:p>
    <w:p w14:paraId="0A74F53D">
      <w:pPr>
        <w:pStyle w:val="6"/>
        <w:spacing w:line="360" w:lineRule="auto"/>
        <w:ind w:firstLine="480"/>
        <w:rPr>
          <w:rFonts w:hint="eastAsia"/>
          <w:color w:val="auto"/>
          <w:highlight w:val="none"/>
        </w:rPr>
      </w:pPr>
      <w:r>
        <w:rPr>
          <w:rFonts w:hint="eastAsia"/>
          <w:color w:val="auto"/>
          <w:highlight w:val="none"/>
        </w:rPr>
        <w:t>（一）按《民法典》中的相关条款执行。</w:t>
      </w:r>
    </w:p>
    <w:p w14:paraId="38FCF69F">
      <w:pPr>
        <w:pStyle w:val="6"/>
        <w:spacing w:line="360" w:lineRule="auto"/>
        <w:ind w:firstLine="480"/>
        <w:rPr>
          <w:rFonts w:hint="eastAsia"/>
          <w:color w:val="auto"/>
          <w:highlight w:val="none"/>
        </w:rPr>
      </w:pPr>
      <w:r>
        <w:rPr>
          <w:rFonts w:hint="eastAsia"/>
          <w:color w:val="auto"/>
          <w:highlight w:val="none"/>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7CE884F2">
      <w:pPr>
        <w:pStyle w:val="6"/>
        <w:spacing w:line="360" w:lineRule="auto"/>
        <w:ind w:firstLine="480"/>
        <w:rPr>
          <w:rFonts w:hint="eastAsia"/>
          <w:color w:val="auto"/>
          <w:highlight w:val="none"/>
        </w:rPr>
      </w:pPr>
      <w:r>
        <w:rPr>
          <w:rFonts w:hint="eastAsia"/>
          <w:color w:val="auto"/>
          <w:highlight w:val="none"/>
        </w:rPr>
        <w:t>（三）一方不履行本协议的约定，履行义务不符合本协议约定或存在违反本协议约定的行为，均属违约。守约方有权要求违约方限期更正、采取补救措施并继续履行本协议之</w:t>
      </w:r>
      <w:r>
        <w:rPr>
          <w:rFonts w:hint="eastAsia"/>
          <w:color w:val="auto"/>
          <w:highlight w:val="none"/>
        </w:rPr>
        <w:drawing>
          <wp:anchor distT="0" distB="0" distL="0" distR="0" simplePos="0" relativeHeight="251660288" behindDoc="0" locked="0" layoutInCell="0" allowOverlap="1">
            <wp:simplePos x="0" y="0"/>
            <wp:positionH relativeFrom="page">
              <wp:posOffset>791210</wp:posOffset>
            </wp:positionH>
            <wp:positionV relativeFrom="page">
              <wp:posOffset>701040</wp:posOffset>
            </wp:positionV>
            <wp:extent cx="5976620" cy="12065"/>
            <wp:effectExtent l="0" t="0" r="5080" b="1905"/>
            <wp:wrapNone/>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8"/>
                    <a:stretch>
                      <a:fillRect/>
                    </a:stretch>
                  </pic:blipFill>
                  <pic:spPr>
                    <a:xfrm>
                      <a:off x="0" y="0"/>
                      <a:ext cx="5976365" cy="12191"/>
                    </a:xfrm>
                    <a:prstGeom prst="rect">
                      <a:avLst/>
                    </a:prstGeom>
                  </pic:spPr>
                </pic:pic>
              </a:graphicData>
            </a:graphic>
          </wp:anchor>
        </w:drawing>
      </w:r>
      <w:r>
        <w:rPr>
          <w:rFonts w:hint="eastAsia"/>
          <w:color w:val="auto"/>
          <w:highlight w:val="none"/>
        </w:rPr>
        <w:t>约定。经守约方书面要求后，违约方仍未在守约方要求的期限内更正违约行为或采取补救 措施、继续履行协议约定的，属于严重违约。守约方有权单方解除本协议，违约方的严重违约行为造成守约方经济损失的，违约方应全额进行赔偿，赔偿范围包括但不限于实际损失、律师及其差旅费、保全费、鉴定费、公证费及其他维权所产生的费用等。</w:t>
      </w:r>
    </w:p>
    <w:p w14:paraId="7AB05CE4">
      <w:pPr>
        <w:pStyle w:val="6"/>
        <w:spacing w:line="360" w:lineRule="auto"/>
        <w:ind w:firstLine="480"/>
        <w:rPr>
          <w:rFonts w:hint="eastAsia"/>
          <w:color w:val="auto"/>
          <w:highlight w:val="none"/>
          <w:lang w:val="en-US" w:eastAsia="zh-CN"/>
        </w:rPr>
      </w:pPr>
      <w:r>
        <w:rPr>
          <w:rFonts w:hint="eastAsia"/>
          <w:color w:val="auto"/>
          <w:highlight w:val="none"/>
          <w:lang w:val="en-US" w:eastAsia="zh-CN"/>
        </w:rPr>
        <w:t>（四）乙方项目负责人不专职于本养护项目，在工作日无故未到养护现场，或无故未能参加甲方组织检查、验收、考核工作，乙方向甲方支付 1000 元/次的违约金额。</w:t>
      </w:r>
    </w:p>
    <w:p w14:paraId="5FEC3B28">
      <w:pPr>
        <w:pStyle w:val="6"/>
        <w:spacing w:line="360" w:lineRule="auto"/>
        <w:ind w:firstLine="480"/>
        <w:rPr>
          <w:rFonts w:hint="eastAsia"/>
          <w:color w:val="auto"/>
          <w:highlight w:val="none"/>
          <w:lang w:val="en-US" w:eastAsia="zh-CN"/>
        </w:rPr>
      </w:pPr>
      <w:r>
        <w:rPr>
          <w:rFonts w:hint="eastAsia"/>
          <w:color w:val="auto"/>
          <w:highlight w:val="none"/>
          <w:lang w:val="en-US" w:eastAsia="zh-CN"/>
        </w:rPr>
        <w:t>（五）养护期结束，甲乙双方办理移交手续，乙方应保证养护范围内各类林木生长良好，各类设施的完好无损。如有损失，乙方负责赔偿，自费采取补种、更换、修复等一切措施进行补救。如果乙方无正当理由拒绝补救时，甲方可以另行委托他人进行补救。结算时甲方可先行扣除他人代其实施补救所发生的费用，并且乙方应向甲方支付金额相当于合同结算价款 1-3%的金额作为违约金。</w:t>
      </w:r>
    </w:p>
    <w:p w14:paraId="2C7AD347">
      <w:pPr>
        <w:pStyle w:val="6"/>
        <w:spacing w:line="360" w:lineRule="auto"/>
        <w:ind w:firstLine="480"/>
        <w:rPr>
          <w:rFonts w:hint="eastAsia"/>
          <w:color w:val="auto"/>
          <w:highlight w:val="none"/>
          <w:lang w:val="en-US" w:eastAsia="zh-CN"/>
        </w:rPr>
      </w:pPr>
      <w:r>
        <w:rPr>
          <w:rFonts w:hint="eastAsia"/>
          <w:color w:val="auto"/>
          <w:highlight w:val="none"/>
          <w:lang w:val="en-US" w:eastAsia="zh-CN"/>
        </w:rPr>
        <w:t>（六）乙方违反安全生产的规定，造成安全事故，乙方应承担全部的责任并赔偿相应的损失。而且甲方可据此要求乙方予以赔偿，并可单方决定与乙方解除合同。</w:t>
      </w:r>
    </w:p>
    <w:p w14:paraId="443E0ACE">
      <w:pPr>
        <w:pStyle w:val="6"/>
        <w:spacing w:line="360" w:lineRule="auto"/>
        <w:ind w:firstLine="480"/>
        <w:rPr>
          <w:rFonts w:hint="eastAsia"/>
          <w:color w:val="auto"/>
          <w:highlight w:val="none"/>
          <w:lang w:val="en-US" w:eastAsia="zh-CN"/>
        </w:rPr>
      </w:pPr>
      <w:r>
        <w:rPr>
          <w:rFonts w:hint="eastAsia"/>
          <w:color w:val="auto"/>
          <w:highlight w:val="none"/>
          <w:lang w:val="en-US" w:eastAsia="zh-CN"/>
        </w:rPr>
        <w:t>（七）乙方不按规定使用药剂，造成人员伤亡或环境污染乙方应独立承担赔偿责任。甲方根据损害程度的大小，可单方决定是否与乙方终止合同。</w:t>
      </w:r>
    </w:p>
    <w:p w14:paraId="479A63B5">
      <w:pPr>
        <w:pStyle w:val="6"/>
        <w:spacing w:line="360" w:lineRule="auto"/>
        <w:ind w:firstLine="480"/>
        <w:rPr>
          <w:rFonts w:hint="eastAsia"/>
          <w:color w:val="auto"/>
          <w:highlight w:val="none"/>
          <w:lang w:val="en-US" w:eastAsia="zh-CN"/>
        </w:rPr>
      </w:pPr>
      <w:r>
        <w:rPr>
          <w:rFonts w:hint="eastAsia"/>
          <w:color w:val="auto"/>
          <w:highlight w:val="none"/>
          <w:lang w:val="en-US" w:eastAsia="zh-CN"/>
        </w:rPr>
        <w:t>（八）未经甲方同意，乙方擅自将本养护项目进行分包或转包，应承担赔偿责任。而且，甲方有权因此终止合同。</w:t>
      </w:r>
    </w:p>
    <w:p w14:paraId="4FEB4C8D">
      <w:pPr>
        <w:pStyle w:val="6"/>
        <w:spacing w:line="360" w:lineRule="auto"/>
        <w:ind w:firstLine="480"/>
        <w:rPr>
          <w:rFonts w:hint="eastAsia"/>
          <w:color w:val="auto"/>
          <w:highlight w:val="none"/>
          <w:lang w:val="en-US" w:eastAsia="zh-CN"/>
        </w:rPr>
      </w:pPr>
      <w:r>
        <w:rPr>
          <w:rFonts w:hint="eastAsia"/>
          <w:color w:val="auto"/>
          <w:highlight w:val="none"/>
          <w:lang w:val="en-US" w:eastAsia="zh-CN"/>
        </w:rPr>
        <w:t>（九）乙方无故不接受甲方在对其养护工作检查后提出的整改意见，或未在规定时间内进行整改的，未整改一次罚款 5000 元，二次罚款 10000 元，三次终止合同。</w:t>
      </w:r>
    </w:p>
    <w:p w14:paraId="62EE92FD">
      <w:pPr>
        <w:pStyle w:val="6"/>
        <w:spacing w:line="360" w:lineRule="auto"/>
        <w:ind w:firstLine="480"/>
        <w:rPr>
          <w:rFonts w:hint="eastAsia"/>
          <w:color w:val="auto"/>
          <w:highlight w:val="none"/>
          <w:lang w:val="en-US" w:eastAsia="zh-CN"/>
        </w:rPr>
      </w:pPr>
      <w:r>
        <w:rPr>
          <w:rFonts w:hint="eastAsia"/>
          <w:color w:val="auto"/>
          <w:highlight w:val="none"/>
          <w:lang w:val="en-US" w:eastAsia="zh-CN"/>
        </w:rPr>
        <w:t>（十）乙方因未按期支付养护人员的工资，引发劳资或劳务人员群体闹事（如讨薪示威等）事件。乙方向甲方支付违约金 5万元/次，甲方可从当期的进度款中扣除。</w:t>
      </w:r>
    </w:p>
    <w:p w14:paraId="0DF2650E">
      <w:pPr>
        <w:pStyle w:val="6"/>
        <w:spacing w:line="360" w:lineRule="auto"/>
        <w:ind w:firstLine="480"/>
        <w:rPr>
          <w:rFonts w:hint="eastAsia"/>
          <w:color w:val="auto"/>
          <w:highlight w:val="none"/>
        </w:rPr>
      </w:pPr>
      <w:r>
        <w:rPr>
          <w:rFonts w:hint="eastAsia"/>
          <w:color w:val="auto"/>
          <w:highlight w:val="none"/>
          <w:lang w:val="en-US" w:eastAsia="zh-CN"/>
        </w:rPr>
        <w:t>（十一）当乙方不履行合同义务或不按合同约定履行义务时，给甲方造成损失的，乙方应按照实际损失额进行赔偿，与此同时甲方有权解除本合同。</w:t>
      </w:r>
    </w:p>
    <w:p w14:paraId="003CBF77">
      <w:pPr>
        <w:pStyle w:val="6"/>
        <w:spacing w:line="360" w:lineRule="auto"/>
        <w:ind w:firstLine="480"/>
        <w:rPr>
          <w:rFonts w:hint="eastAsia"/>
          <w:color w:val="auto"/>
          <w:highlight w:val="none"/>
        </w:rPr>
      </w:pPr>
      <w:r>
        <w:rPr>
          <w:rFonts w:hint="eastAsia"/>
          <w:color w:val="auto"/>
          <w:highlight w:val="none"/>
        </w:rPr>
        <w:t>九、争议解决</w:t>
      </w:r>
    </w:p>
    <w:p w14:paraId="6E4F98F6">
      <w:pPr>
        <w:pStyle w:val="6"/>
        <w:spacing w:line="360" w:lineRule="auto"/>
        <w:ind w:firstLine="480"/>
        <w:rPr>
          <w:rFonts w:hint="eastAsia"/>
          <w:color w:val="auto"/>
          <w:highlight w:val="none"/>
        </w:rPr>
      </w:pPr>
      <w:r>
        <w:rPr>
          <w:rFonts w:hint="eastAsia"/>
          <w:color w:val="auto"/>
          <w:highlight w:val="none"/>
        </w:rPr>
        <w:t>对本合同执行过程中发生的一切争议，双方友好协商解决，如协商不能解决，依法向甲方所在地有管辖权的人民法院提起诉讼。</w:t>
      </w:r>
    </w:p>
    <w:p w14:paraId="0C9386D7">
      <w:pPr>
        <w:pStyle w:val="6"/>
        <w:spacing w:line="360" w:lineRule="auto"/>
        <w:ind w:firstLine="480"/>
        <w:rPr>
          <w:rFonts w:hint="eastAsia"/>
          <w:color w:val="auto"/>
          <w:highlight w:val="none"/>
        </w:rPr>
      </w:pPr>
      <w:r>
        <w:rPr>
          <w:rFonts w:hint="eastAsia"/>
          <w:color w:val="auto"/>
          <w:highlight w:val="none"/>
        </w:rPr>
        <w:t>十、合同生效</w:t>
      </w:r>
    </w:p>
    <w:p w14:paraId="7D1B9B6D">
      <w:pPr>
        <w:pStyle w:val="6"/>
        <w:spacing w:line="360" w:lineRule="auto"/>
        <w:ind w:firstLine="480"/>
        <w:rPr>
          <w:rFonts w:hint="eastAsia"/>
          <w:color w:val="auto"/>
          <w:highlight w:val="none"/>
        </w:rPr>
      </w:pPr>
      <w:r>
        <w:rPr>
          <w:rFonts w:hint="eastAsia"/>
          <w:color w:val="auto"/>
          <w:highlight w:val="none"/>
        </w:rPr>
        <w:t>1、本合同自双方签字盖章之日起生效。</w:t>
      </w:r>
    </w:p>
    <w:p w14:paraId="5FA44CEB">
      <w:pPr>
        <w:pStyle w:val="6"/>
        <w:spacing w:line="360" w:lineRule="auto"/>
        <w:ind w:firstLine="480"/>
        <w:rPr>
          <w:rFonts w:hint="eastAsia"/>
          <w:color w:val="auto"/>
          <w:highlight w:val="none"/>
        </w:rPr>
      </w:pPr>
      <w:r>
        <w:rPr>
          <w:rFonts w:hint="eastAsia"/>
          <w:color w:val="auto"/>
          <w:highlight w:val="none"/>
        </w:rPr>
        <w:t>2、合同一式 6 份。</w:t>
      </w:r>
    </w:p>
    <w:p w14:paraId="532FB8B2">
      <w:pPr>
        <w:pStyle w:val="6"/>
        <w:spacing w:line="360" w:lineRule="auto"/>
        <w:ind w:firstLine="480"/>
        <w:rPr>
          <w:rFonts w:hint="eastAsia"/>
          <w:color w:val="auto"/>
          <w:highlight w:val="none"/>
        </w:rPr>
      </w:pPr>
      <w:r>
        <w:rPr>
          <w:rFonts w:hint="eastAsia"/>
          <w:color w:val="auto"/>
          <w:highlight w:val="none"/>
        </w:rPr>
        <w:t>3、如本合同有未尽事宜，以磋商文件为准，磋商文件未做要求的，由双方依法订立补充合同。</w:t>
      </w:r>
    </w:p>
    <w:p w14:paraId="4A24D6E1">
      <w:pPr>
        <w:pStyle w:val="6"/>
        <w:spacing w:line="360" w:lineRule="auto"/>
        <w:ind w:firstLine="480"/>
        <w:rPr>
          <w:rFonts w:hint="eastAsia"/>
          <w:color w:val="auto"/>
          <w:highlight w:val="none"/>
        </w:rPr>
      </w:pPr>
      <w:r>
        <w:rPr>
          <w:rFonts w:hint="eastAsia"/>
          <w:color w:val="auto"/>
          <w:highlight w:val="none"/>
        </w:rPr>
        <w:t>十一、其他事项</w:t>
      </w:r>
    </w:p>
    <w:p w14:paraId="58EEE1F1">
      <w:pPr>
        <w:pStyle w:val="6"/>
        <w:spacing w:line="360" w:lineRule="auto"/>
        <w:ind w:firstLine="480"/>
        <w:rPr>
          <w:rFonts w:hint="eastAsia"/>
          <w:color w:val="auto"/>
          <w:highlight w:val="none"/>
        </w:rPr>
      </w:pPr>
      <w:r>
        <w:rPr>
          <w:rFonts w:hint="eastAsia"/>
          <w:color w:val="auto"/>
          <w:highlight w:val="none"/>
        </w:rPr>
        <w:t>（一）竞争性磋商文件、竞争性磋商响应文件、澄清表（函）、成交通知书、合同附件均成为合同不可分割的部分。</w:t>
      </w:r>
    </w:p>
    <w:p w14:paraId="7979A67A">
      <w:pPr>
        <w:pStyle w:val="6"/>
        <w:spacing w:line="360" w:lineRule="auto"/>
        <w:ind w:firstLine="480"/>
        <w:rPr>
          <w:rFonts w:hint="eastAsia"/>
          <w:color w:val="auto"/>
          <w:highlight w:val="none"/>
        </w:rPr>
      </w:pPr>
      <w:r>
        <w:rPr>
          <w:rFonts w:hint="eastAsia"/>
          <w:color w:val="auto"/>
          <w:highlight w:val="none"/>
        </w:rPr>
        <w:t>（二）合同未尽事宜，由甲、乙双方协商并经鉴证方确认后签订政府采购补充合同，与原合同具有同等法律效力。</w:t>
      </w:r>
    </w:p>
    <w:p w14:paraId="6119C55F">
      <w:pPr>
        <w:spacing w:line="360" w:lineRule="auto"/>
        <w:rPr>
          <w:rFonts w:hint="eastAsia"/>
          <w:color w:val="auto"/>
          <w:highlight w:val="none"/>
        </w:rPr>
      </w:pPr>
    </w:p>
    <w:p w14:paraId="3326551A">
      <w:pPr>
        <w:pStyle w:val="6"/>
        <w:spacing w:line="360" w:lineRule="auto"/>
        <w:ind w:firstLine="480"/>
        <w:rPr>
          <w:rFonts w:hint="eastAsia"/>
          <w:color w:val="auto"/>
          <w:highlight w:val="none"/>
        </w:rPr>
      </w:pPr>
      <w:r>
        <w:rPr>
          <w:rFonts w:hint="eastAsia"/>
          <w:color w:val="auto"/>
          <w:highlight w:val="none"/>
        </w:rPr>
        <w:t>甲方（盖章）：               乙方（盖章）：               鉴定方（盖章）：</w:t>
      </w:r>
    </w:p>
    <w:p w14:paraId="67FA0EB5">
      <w:pPr>
        <w:pStyle w:val="6"/>
        <w:spacing w:line="360" w:lineRule="auto"/>
        <w:ind w:firstLine="480"/>
        <w:rPr>
          <w:rFonts w:hint="eastAsia"/>
          <w:color w:val="auto"/>
          <w:highlight w:val="none"/>
        </w:rPr>
      </w:pPr>
    </w:p>
    <w:p w14:paraId="16070A8D">
      <w:pPr>
        <w:pStyle w:val="6"/>
        <w:spacing w:line="360" w:lineRule="auto"/>
        <w:ind w:firstLine="480"/>
        <w:rPr>
          <w:rFonts w:hint="eastAsia"/>
          <w:color w:val="auto"/>
          <w:highlight w:val="none"/>
        </w:rPr>
      </w:pPr>
    </w:p>
    <w:p w14:paraId="10E64D69">
      <w:pPr>
        <w:pStyle w:val="6"/>
        <w:spacing w:line="360" w:lineRule="auto"/>
        <w:ind w:firstLine="480"/>
        <w:rPr>
          <w:rFonts w:hint="eastAsia"/>
          <w:color w:val="auto"/>
          <w:highlight w:val="none"/>
        </w:rPr>
      </w:pPr>
      <w:r>
        <w:rPr>
          <w:rFonts w:hint="eastAsia"/>
          <w:color w:val="auto"/>
          <w:highlight w:val="none"/>
        </w:rPr>
        <w:t xml:space="preserve">甲方代表（签字）：        </w:t>
      </w:r>
      <w:r>
        <w:rPr>
          <w:rFonts w:hint="eastAsia"/>
          <w:color w:val="auto"/>
          <w:highlight w:val="none"/>
          <w:lang w:val="en-US" w:eastAsia="zh-CN"/>
        </w:rPr>
        <w:t xml:space="preserve"> </w:t>
      </w:r>
      <w:r>
        <w:rPr>
          <w:rFonts w:hint="eastAsia"/>
          <w:color w:val="auto"/>
          <w:highlight w:val="none"/>
        </w:rPr>
        <w:t xml:space="preserve">  乙方代表（签字）：          鉴定方代表（签字或盖章）：</w:t>
      </w:r>
    </w:p>
    <w:p w14:paraId="5D23668D">
      <w:pPr>
        <w:pStyle w:val="6"/>
        <w:spacing w:line="360" w:lineRule="auto"/>
        <w:ind w:firstLine="480"/>
        <w:rPr>
          <w:rFonts w:hint="eastAsia"/>
          <w:color w:val="auto"/>
          <w:highlight w:val="none"/>
        </w:rPr>
      </w:pPr>
    </w:p>
    <w:p w14:paraId="4E00F66A">
      <w:pPr>
        <w:pStyle w:val="6"/>
        <w:spacing w:line="360" w:lineRule="auto"/>
        <w:ind w:firstLine="480"/>
        <w:rPr>
          <w:rFonts w:hint="eastAsia"/>
          <w:color w:val="auto"/>
          <w:highlight w:val="none"/>
        </w:rPr>
      </w:pPr>
    </w:p>
    <w:p w14:paraId="3D8E2EF3">
      <w:pPr>
        <w:pStyle w:val="6"/>
        <w:spacing w:line="360" w:lineRule="auto"/>
        <w:ind w:firstLine="480"/>
        <w:rPr>
          <w:rFonts w:hint="eastAsia"/>
          <w:color w:val="auto"/>
          <w:highlight w:val="none"/>
          <w:lang w:val="en-US" w:eastAsia="zh-Hans"/>
        </w:rPr>
      </w:pPr>
      <w:r>
        <w:rPr>
          <w:rFonts w:hint="eastAsia"/>
          <w:color w:val="auto"/>
          <w:highlight w:val="none"/>
        </w:rPr>
        <w:t>年 月 日                         年 月 日                        年 月 日</w:t>
      </w:r>
    </w:p>
    <w:p w14:paraId="4E5920B0"/>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E514A">
    <w:pPr>
      <w:spacing w:line="174" w:lineRule="auto"/>
      <w:ind w:left="4575"/>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6D544">
    <w:pPr>
      <w:pStyle w:val="2"/>
      <w:pBdr>
        <w:top w:val="none" w:color="auto" w:sz="0" w:space="1"/>
        <w:left w:val="none" w:color="auto" w:sz="0" w:space="4"/>
        <w:bottom w:val="none" w:color="auto" w:sz="0" w:space="1"/>
        <w:right w:val="none" w:color="auto" w:sz="0" w:space="4"/>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NTNhMDM0YWVkYzE3NTE5NjRlNTNmOWJiNjUwYTYifQ=="/>
  </w:docVars>
  <w:rsids>
    <w:rsidRoot w:val="36DA0032"/>
    <w:rsid w:val="1CA66DFF"/>
    <w:rsid w:val="36DA0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2293</Words>
  <Characters>2312</Characters>
  <Lines>0</Lines>
  <Paragraphs>0</Paragraphs>
  <TotalTime>0</TotalTime>
  <ScaleCrop>false</ScaleCrop>
  <LinksUpToDate>false</LinksUpToDate>
  <CharactersWithSpaces>2454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2024-08-16T10:00:00Z</dcterms:created>
  <dc:creator>Guo Xionglong</dc:creator>
  <cp:lastModifiedBy>destiny</cp:lastModifiedBy>
  <dcterms:modified xsi:type="dcterms:W3CDTF">2025-08-05T08:29:35Z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74D7DFA4AC384C8ABFCBFF5F9A273616_11</vt:lpwstr>
  </property>
  <property fmtid="{D5CDD505-2E9C-101B-9397-08002B2CF9AE}" pid="4" name="KSOTemplateDocerSaveRecord">
    <vt:lpwstr>eyJoZGlkIjoiYjg5MDYxMzVlYTRhZjAwMjdhZGM5MjUwMjA2NjQyMTUiLCJ1c2VySWQiOiIxODk3Mjk3NjUifQ==</vt:lpwstr>
  </property>
</Properties>
</file>