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AF981">
      <w:pPr>
        <w:widowControl/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 w:bidi="ar-SA"/>
        </w:rPr>
      </w:pPr>
      <w:bookmarkStart w:id="0" w:name="_Toc1774_WPSOffice_Level2"/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分项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 w:bidi="ar-SA"/>
        </w:rPr>
        <w:t>报价明细表</w:t>
      </w:r>
      <w:bookmarkEnd w:id="0"/>
    </w:p>
    <w:p w14:paraId="671FA07E">
      <w:pPr>
        <w:widowControl/>
        <w:spacing w:line="360" w:lineRule="auto"/>
        <w:ind w:firstLine="0" w:firstLineChars="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 </w:t>
      </w:r>
    </w:p>
    <w:tbl>
      <w:tblPr>
        <w:tblStyle w:val="4"/>
        <w:tblW w:w="92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1649"/>
        <w:gridCol w:w="1348"/>
        <w:gridCol w:w="1349"/>
        <w:gridCol w:w="2039"/>
        <w:gridCol w:w="1852"/>
      </w:tblGrid>
      <w:tr w14:paraId="45227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1020" w:type="dxa"/>
            <w:vAlign w:val="center"/>
          </w:tcPr>
          <w:p w14:paraId="78B76A9E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1649" w:type="dxa"/>
            <w:vAlign w:val="center"/>
          </w:tcPr>
          <w:p w14:paraId="184A9CB4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vertAlign w:val="baseline"/>
                <w:lang w:val="en-US" w:eastAsia="zh-CN" w:bidi="ar-SA"/>
              </w:rPr>
              <w:t>服务内容</w:t>
            </w:r>
          </w:p>
        </w:tc>
        <w:tc>
          <w:tcPr>
            <w:tcW w:w="1348" w:type="dxa"/>
            <w:vAlign w:val="center"/>
          </w:tcPr>
          <w:p w14:paraId="4B271070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vertAlign w:val="baseline"/>
                <w:lang w:val="en-US" w:eastAsia="zh-CN" w:bidi="ar-SA"/>
              </w:rPr>
              <w:t>租金单价（元/㎡）</w:t>
            </w:r>
          </w:p>
        </w:tc>
        <w:tc>
          <w:tcPr>
            <w:tcW w:w="1349" w:type="dxa"/>
            <w:vAlign w:val="center"/>
          </w:tcPr>
          <w:p w14:paraId="711EE3AB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vertAlign w:val="baseline"/>
                <w:lang w:val="en-US" w:eastAsia="zh-CN" w:bidi="ar-SA"/>
              </w:rPr>
              <w:t>面积（㎡）</w:t>
            </w:r>
          </w:p>
        </w:tc>
        <w:tc>
          <w:tcPr>
            <w:tcW w:w="2039" w:type="dxa"/>
            <w:vAlign w:val="center"/>
          </w:tcPr>
          <w:p w14:paraId="5729DDC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vertAlign w:val="baseline"/>
                <w:lang w:val="en-US" w:eastAsia="zh-CN" w:bidi="ar-SA"/>
              </w:rPr>
              <w:t>月租金（元）</w:t>
            </w:r>
          </w:p>
        </w:tc>
        <w:tc>
          <w:tcPr>
            <w:tcW w:w="1852" w:type="dxa"/>
            <w:vAlign w:val="center"/>
          </w:tcPr>
          <w:p w14:paraId="20AAEB8D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vertAlign w:val="baseline"/>
                <w:lang w:val="en-US" w:eastAsia="zh-CN" w:bidi="ar-SA"/>
              </w:rPr>
              <w:t>备注</w:t>
            </w:r>
          </w:p>
        </w:tc>
      </w:tr>
      <w:tr w14:paraId="1D79E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1020" w:type="dxa"/>
            <w:vAlign w:val="center"/>
          </w:tcPr>
          <w:p w14:paraId="5DAE382D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649" w:type="dxa"/>
          </w:tcPr>
          <w:p w14:paraId="1550DF3E">
            <w:pPr>
              <w:widowControl/>
              <w:spacing w:line="360" w:lineRule="auto"/>
              <w:jc w:val="both"/>
              <w:rPr>
                <w:rFonts w:hint="eastAsia" w:ascii="宋体" w:hAnsi="宋体" w:eastAsia="宋体" w:cs="宋体"/>
                <w:kern w:val="2"/>
                <w:sz w:val="24"/>
                <w:vertAlign w:val="baseline"/>
                <w:lang w:val="en-US" w:eastAsia="zh-CN" w:bidi="ar-SA"/>
              </w:rPr>
            </w:pPr>
          </w:p>
        </w:tc>
        <w:tc>
          <w:tcPr>
            <w:tcW w:w="1348" w:type="dxa"/>
          </w:tcPr>
          <w:p w14:paraId="2B11F8A9">
            <w:pPr>
              <w:widowControl/>
              <w:spacing w:line="360" w:lineRule="auto"/>
              <w:jc w:val="both"/>
              <w:rPr>
                <w:rFonts w:hint="eastAsia" w:ascii="宋体" w:hAnsi="宋体" w:eastAsia="宋体" w:cs="宋体"/>
                <w:kern w:val="2"/>
                <w:sz w:val="24"/>
                <w:vertAlign w:val="baseline"/>
                <w:lang w:val="en-US" w:eastAsia="zh-CN" w:bidi="ar-SA"/>
              </w:rPr>
            </w:pPr>
          </w:p>
        </w:tc>
        <w:tc>
          <w:tcPr>
            <w:tcW w:w="1349" w:type="dxa"/>
          </w:tcPr>
          <w:p w14:paraId="30012E00">
            <w:pPr>
              <w:widowControl/>
              <w:spacing w:line="360" w:lineRule="auto"/>
              <w:jc w:val="both"/>
              <w:rPr>
                <w:rFonts w:hint="eastAsia" w:ascii="宋体" w:hAnsi="宋体" w:eastAsia="宋体" w:cs="宋体"/>
                <w:kern w:val="2"/>
                <w:sz w:val="24"/>
                <w:vertAlign w:val="baseline"/>
                <w:lang w:val="en-US" w:eastAsia="zh-CN" w:bidi="ar-SA"/>
              </w:rPr>
            </w:pPr>
          </w:p>
        </w:tc>
        <w:tc>
          <w:tcPr>
            <w:tcW w:w="2039" w:type="dxa"/>
          </w:tcPr>
          <w:p w14:paraId="17D574D6">
            <w:pPr>
              <w:widowControl/>
              <w:spacing w:line="360" w:lineRule="auto"/>
              <w:jc w:val="both"/>
              <w:rPr>
                <w:rFonts w:hint="eastAsia" w:ascii="宋体" w:hAnsi="宋体" w:eastAsia="宋体" w:cs="宋体"/>
                <w:kern w:val="2"/>
                <w:sz w:val="24"/>
                <w:vertAlign w:val="baseline"/>
                <w:lang w:val="en-US" w:eastAsia="zh-CN" w:bidi="ar-SA"/>
              </w:rPr>
            </w:pPr>
          </w:p>
        </w:tc>
        <w:tc>
          <w:tcPr>
            <w:tcW w:w="1852" w:type="dxa"/>
          </w:tcPr>
          <w:p w14:paraId="69BC4508">
            <w:pPr>
              <w:widowControl/>
              <w:spacing w:line="360" w:lineRule="auto"/>
              <w:jc w:val="both"/>
              <w:rPr>
                <w:rFonts w:hint="eastAsia" w:ascii="宋体" w:hAnsi="宋体" w:eastAsia="宋体" w:cs="宋体"/>
                <w:kern w:val="2"/>
                <w:sz w:val="24"/>
                <w:vertAlign w:val="baseline"/>
                <w:lang w:val="en-US" w:eastAsia="zh-CN" w:bidi="ar-SA"/>
              </w:rPr>
            </w:pPr>
          </w:p>
        </w:tc>
      </w:tr>
      <w:tr w14:paraId="78899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</w:trPr>
        <w:tc>
          <w:tcPr>
            <w:tcW w:w="2669" w:type="dxa"/>
            <w:gridSpan w:val="2"/>
            <w:vAlign w:val="center"/>
          </w:tcPr>
          <w:p w14:paraId="6A0BBDC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vertAlign w:val="baseline"/>
                <w:lang w:val="en-US" w:eastAsia="zh-CN" w:bidi="ar-SA"/>
              </w:rPr>
              <w:t>年租金（月租金*12）</w:t>
            </w:r>
          </w:p>
        </w:tc>
        <w:tc>
          <w:tcPr>
            <w:tcW w:w="6588" w:type="dxa"/>
            <w:gridSpan w:val="4"/>
          </w:tcPr>
          <w:p w14:paraId="6C116D52">
            <w:pPr>
              <w:widowControl/>
              <w:spacing w:line="360" w:lineRule="auto"/>
              <w:jc w:val="both"/>
              <w:rPr>
                <w:rFonts w:hint="eastAsia" w:ascii="宋体" w:hAnsi="宋体" w:eastAsia="宋体" w:cs="宋体"/>
                <w:kern w:val="2"/>
                <w:sz w:val="24"/>
                <w:u w:val="singl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vertAlign w:val="baseline"/>
                <w:lang w:val="en-US" w:eastAsia="zh-CN" w:bidi="ar-SA"/>
              </w:rPr>
              <w:t>大写：人民币</w:t>
            </w:r>
            <w:r>
              <w:rPr>
                <w:rFonts w:hint="eastAsia" w:ascii="宋体" w:hAnsi="宋体" w:eastAsia="宋体" w:cs="宋体"/>
                <w:kern w:val="2"/>
                <w:sz w:val="24"/>
                <w:u w:val="single"/>
                <w:vertAlign w:val="baseline"/>
                <w:lang w:val="en-US" w:eastAsia="zh-CN" w:bidi="ar-SA"/>
              </w:rPr>
              <w:t xml:space="preserve">                </w:t>
            </w:r>
          </w:p>
          <w:p w14:paraId="6847FBC5">
            <w:pPr>
              <w:widowControl w:val="0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</w:p>
          <w:p w14:paraId="0B8C7901">
            <w:pPr>
              <w:widowControl w:val="0"/>
              <w:jc w:val="left"/>
              <w:rPr>
                <w:rFonts w:hint="default" w:ascii="Copperplate Gothic Bold" w:hAnsi="Copperplate Gothic Bold" w:eastAsia="Times New Roman" w:cs="Times New Roman"/>
                <w:color w:val="000000"/>
                <w:sz w:val="28"/>
                <w:szCs w:val="24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小写：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  <w:t>元</w:t>
            </w:r>
          </w:p>
        </w:tc>
      </w:tr>
    </w:tbl>
    <w:p w14:paraId="5F8B9E1A">
      <w:pPr>
        <w:widowControl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kern w:val="2"/>
          <w:sz w:val="24"/>
          <w:lang w:val="en-US" w:eastAsia="zh-CN" w:bidi="ar-SA"/>
        </w:rPr>
      </w:pPr>
    </w:p>
    <w:p w14:paraId="5A0EA9AB">
      <w:pPr>
        <w:widowControl/>
        <w:numPr>
          <w:ilvl w:val="0"/>
          <w:numId w:val="0"/>
        </w:numPr>
        <w:spacing w:line="360" w:lineRule="auto"/>
        <w:jc w:val="both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lang w:val="en-US" w:eastAsia="zh-CN" w:bidi="ar-SA"/>
        </w:rPr>
        <w:t>备注：1、表内报价以元为单位，精确到小数点后两位。2、最终结算金额以实际租住期限所产生的租期费用进行结算。3、年租金不得超过本项目采购预算金额，否则按照无效文件处理。</w:t>
      </w:r>
    </w:p>
    <w:p w14:paraId="0930F92E">
      <w:pPr>
        <w:widowControl w:val="0"/>
        <w:spacing w:line="360" w:lineRule="auto"/>
        <w:ind w:firstLine="560" w:firstLineChars="200"/>
        <w:jc w:val="both"/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</w:pPr>
    </w:p>
    <w:p w14:paraId="218AB73F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lang w:eastAsia="zh-CN" w:bidi="ar-SA"/>
        </w:rPr>
      </w:pPr>
    </w:p>
    <w:p w14:paraId="1BBF445C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供应商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全称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：</w:t>
      </w:r>
      <w:r>
        <w:rPr>
          <w:rFonts w:hint="eastAsia" w:ascii="宋体" w:hAnsi="宋体" w:eastAsia="宋体" w:cs="宋体"/>
          <w:kern w:val="0"/>
          <w:sz w:val="24"/>
          <w:u w:val="single"/>
          <w:lang w:eastAsia="zh-CN" w:bidi="ar-SA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（公章）</w:t>
      </w:r>
    </w:p>
    <w:p w14:paraId="25917BE0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</w:p>
    <w:p w14:paraId="0336FD1C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val="zh-CN"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法定代表人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或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授权代表：</w:t>
      </w:r>
      <w:r>
        <w:rPr>
          <w:rFonts w:hint="eastAsia" w:ascii="宋体" w:hAnsi="宋体" w:eastAsia="宋体" w:cs="宋体"/>
          <w:kern w:val="0"/>
          <w:sz w:val="24"/>
          <w:u w:val="single"/>
          <w:lang w:eastAsia="zh-CN" w:bidi="ar-SA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（签字或盖章）</w:t>
      </w:r>
    </w:p>
    <w:p w14:paraId="564D3BE4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 xml:space="preserve">  </w:t>
      </w:r>
    </w:p>
    <w:p w14:paraId="5B83E4F4">
      <w:pPr>
        <w:jc w:val="right"/>
        <w:rPr>
          <w:rFonts w:hint="eastAsia" w:ascii="宋体" w:hAnsi="宋体" w:eastAsia="宋体" w:cs="宋体"/>
          <w:kern w:val="0"/>
          <w:sz w:val="24"/>
          <w:lang w:val="zh-CN"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 xml:space="preserve"> 年       月      日</w:t>
      </w:r>
    </w:p>
    <w:p w14:paraId="178868F8">
      <w:pP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</w:p>
    <w:p w14:paraId="70AA03F6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6616E6"/>
    <w:rsid w:val="3866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2025-08-05T08:44:00Z</dcterms:created>
  <dc:creator>囔囔</dc:creator>
  <cp:lastModifiedBy>囔囔</cp:lastModifiedBy>
  <dcterms:modified xsi:type="dcterms:W3CDTF">2025-08-05T08:44:48Z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3459230801CB46A4B93547DDDE3BD089_11</vt:lpwstr>
  </property>
  <property fmtid="{D5CDD505-2E9C-101B-9397-08002B2CF9AE}" pid="4" name="KSOTemplateDocerSaveRecord">
    <vt:lpwstr>eyJoZGlkIjoiY2MxYjZhOWQ3Y2U1MGIzZGExNDBlOWU5ZTQ0YzlmNTgiLCJ1c2VySWQiOiIyMDcxMjY4MTAifQ==</vt:lpwstr>
  </property>
</Properties>
</file>