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版本号：TZZB-Z-2025228C20250805001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2025年课程开发、社区教育能力提升项目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TZZB-Z-2025228C</w:t>
      </w:r>
      <w:r>
        <w:br/>
      </w:r>
      <w:r>
        <w:br/>
      </w:r>
      <w:r>
        <w:br/>
      </w:r>
    </w:p>
    <w:p>
      <w:pPr>
        <w:pStyle w:val="null3"/>
        <w:jc w:val="center"/>
        <w:outlineLvl w:val="2"/>
      </w:pPr>
      <w:r>
        <w:rPr>
          <w:rFonts w:ascii="仿宋_GB2312" w:hAnsi="仿宋_GB2312" w:cs="仿宋_GB2312" w:eastAsia="仿宋_GB2312"/>
          <w:sz w:val="28"/>
          <w:b/>
        </w:rPr>
        <w:t>西安市教育局（本级）</w:t>
      </w:r>
    </w:p>
    <w:p>
      <w:pPr>
        <w:pStyle w:val="null3"/>
        <w:jc w:val="center"/>
        <w:outlineLvl w:val="2"/>
      </w:pPr>
      <w:r>
        <w:rPr>
          <w:rFonts w:ascii="仿宋_GB2312" w:hAnsi="仿宋_GB2312" w:cs="仿宋_GB2312" w:eastAsia="仿宋_GB2312"/>
          <w:sz w:val="28"/>
          <w:b/>
        </w:rPr>
        <w:t>同正项目管理有限公司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同正项目管理有限公司</w:t>
      </w:r>
      <w:r>
        <w:rPr>
          <w:rFonts w:ascii="仿宋_GB2312" w:hAnsi="仿宋_GB2312" w:cs="仿宋_GB2312" w:eastAsia="仿宋_GB2312"/>
        </w:rPr>
        <w:t>（以下简称“代理机构”）受</w:t>
      </w:r>
      <w:r>
        <w:rPr>
          <w:rFonts w:ascii="仿宋_GB2312" w:hAnsi="仿宋_GB2312" w:cs="仿宋_GB2312" w:eastAsia="仿宋_GB2312"/>
        </w:rPr>
        <w:t>西安市教育局（本级）</w:t>
      </w:r>
      <w:r>
        <w:rPr>
          <w:rFonts w:ascii="仿宋_GB2312" w:hAnsi="仿宋_GB2312" w:cs="仿宋_GB2312" w:eastAsia="仿宋_GB2312"/>
        </w:rPr>
        <w:t>委托，拟对</w:t>
      </w:r>
      <w:r>
        <w:rPr>
          <w:rFonts w:ascii="仿宋_GB2312" w:hAnsi="仿宋_GB2312" w:cs="仿宋_GB2312" w:eastAsia="仿宋_GB2312"/>
        </w:rPr>
        <w:t>2025年课程开发、社区教育能力提升项目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TZZB-Z-2025228C</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2025年课程开发、社区教育能力提升项目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2025年课程开发、社区教育能力提升项目（课程资源开发及社区教育能力提升）。</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授权合法的人员参加磋商全过程：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p>
      <w:pPr>
        <w:pStyle w:val="null3"/>
      </w:pPr>
      <w:r>
        <w:rPr>
          <w:rFonts w:ascii="仿宋_GB2312" w:hAnsi="仿宋_GB2312" w:cs="仿宋_GB2312" w:eastAsia="仿宋_GB2312"/>
        </w:rPr>
        <w:t>2、信用证明：供应商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p>
    <w:p>
      <w:pPr>
        <w:pStyle w:val="null3"/>
      </w:pPr>
      <w:r>
        <w:rPr>
          <w:rFonts w:ascii="仿宋_GB2312" w:hAnsi="仿宋_GB2312" w:cs="仿宋_GB2312" w:eastAsia="仿宋_GB2312"/>
        </w:rPr>
        <w:t>3、供应商须为具有独立承担民事责任能力的法人、其他组织或自然人：供应商须为具有独立承担民事责任能力的法人、其他组织或自然人</w:t>
      </w:r>
    </w:p>
    <w:p>
      <w:pPr>
        <w:pStyle w:val="null3"/>
      </w:pPr>
      <w:r>
        <w:rPr>
          <w:rFonts w:ascii="仿宋_GB2312" w:hAnsi="仿宋_GB2312" w:cs="仿宋_GB2312" w:eastAsia="仿宋_GB2312"/>
        </w:rPr>
        <w:t>4、财务状况报告：提供2024年度经审计的完整有效财务报告，或其响应文件递交截止时间前三个月内基本开户银行出具的资信证明，或财政部门认可的政府采购专业担保机构出具的担保函（以上三种任意一项即可）。</w:t>
      </w:r>
    </w:p>
    <w:p>
      <w:pPr>
        <w:pStyle w:val="null3"/>
      </w:pPr>
      <w:r>
        <w:rPr>
          <w:rFonts w:ascii="仿宋_GB2312" w:hAnsi="仿宋_GB2312" w:cs="仿宋_GB2312" w:eastAsia="仿宋_GB2312"/>
        </w:rPr>
        <w:t>5、社保缴纳证明：提供自2024年7月1日以来已缴存的任意1个月的社会保障资金缴存单据或社保机构开具的社会保险参保缴费情况证明；依法不需要缴纳社会保障资金的供应商应提供相关证明文件。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6、税收缴纳证明：提供自2024年7月1日以来已缴纳的任意1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7、提供具有履行合同所必需的设备和专业技术能力的书面承诺：提供具有履行合同所必需的设备和专业技术能力的书面承诺，加盖供应商公章。</w:t>
      </w:r>
    </w:p>
    <w:p>
      <w:pPr>
        <w:pStyle w:val="null3"/>
      </w:pPr>
      <w:r>
        <w:rPr>
          <w:rFonts w:ascii="仿宋_GB2312" w:hAnsi="仿宋_GB2312" w:cs="仿宋_GB2312" w:eastAsia="仿宋_GB2312"/>
        </w:rPr>
        <w:t>8、提供参加政府采购活动前三年内在经营活动中没有重大违法记录的书面声明：提供参加政府采购活动前三年内在经营活动中没有重大违法记录的书面声明，加盖供应商公章。</w:t>
      </w:r>
    </w:p>
    <w:p>
      <w:pPr>
        <w:pStyle w:val="null3"/>
      </w:pPr>
      <w:r>
        <w:rPr>
          <w:rFonts w:ascii="仿宋_GB2312" w:hAnsi="仿宋_GB2312" w:cs="仿宋_GB2312" w:eastAsia="仿宋_GB2312"/>
        </w:rPr>
        <w:t>9、控股、管理关系：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西安市教育局（本级）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凤城八路109号市政府6号楼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029-86786571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同正项目管理有限公司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西安市雁塔区科技二路71号竹园·天寰国际1107室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温丽妮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029-65652860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代理服务费收费标准：采购代理服务费参照国家计委《招标代理服务收费管理暂行办法》（计价格〔2002〕1980 号）、国家发展改革委办公厅《关于招标代理服务收费有关问题的通知》（发改办价格〔2003〕857 号）及国家发展改革委《关于降低部分建设项目收费标准规范收费行为等有关问题的通知》（发改价格〔2011〕534号）规定的标准计取（以中标/成交金额结算）。 代理服务费缴纳账号： 账户名称：同正项目管理有限公司 开户行：中国建设银行股份有限公司西安长庆支行 银行账号：61050190550000001106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西安市教育局（本级）</w:t>
      </w:r>
      <w:r>
        <w:rPr>
          <w:rFonts w:ascii="仿宋_GB2312" w:hAnsi="仿宋_GB2312" w:cs="仿宋_GB2312" w:eastAsia="仿宋_GB2312"/>
        </w:rPr>
        <w:t>和</w:t>
      </w:r>
      <w:r>
        <w:rPr>
          <w:rFonts w:ascii="仿宋_GB2312" w:hAnsi="仿宋_GB2312" w:cs="仿宋_GB2312" w:eastAsia="仿宋_GB2312"/>
        </w:rPr>
        <w:t>同正项目管理有限公司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西安市教育局（本级）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同正项目管理有限公司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西安市教育局（本级）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同正项目管理有限公司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1.符合国家及行业相关标准、本项目合同、竞争性磋商文件、响应文件。 2.按照服务内容及要求，强化日常监督和考核，乙方配合甲方参与项目验收工作，并确保所服务项目内容符合本项目质量标准。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同正项目管理有限公司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同正项目管理有限公司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联系人：温丽妮</w:t>
      </w:r>
    </w:p>
    <w:p>
      <w:pPr>
        <w:pStyle w:val="null3"/>
      </w:pPr>
      <w:r>
        <w:rPr>
          <w:rFonts w:ascii="仿宋_GB2312" w:hAnsi="仿宋_GB2312" w:cs="仿宋_GB2312" w:eastAsia="仿宋_GB2312"/>
        </w:rPr>
        <w:t>联系电话：029-65652860</w:t>
      </w:r>
    </w:p>
    <w:p>
      <w:pPr>
        <w:pStyle w:val="null3"/>
      </w:pPr>
      <w:r>
        <w:rPr>
          <w:rFonts w:ascii="仿宋_GB2312" w:hAnsi="仿宋_GB2312" w:cs="仿宋_GB2312" w:eastAsia="仿宋_GB2312"/>
        </w:rPr>
        <w:t>地址：西安市雁塔区科技二路71号竹园·天寰国际1107室</w:t>
      </w:r>
    </w:p>
    <w:p>
      <w:pPr>
        <w:pStyle w:val="null3"/>
      </w:pPr>
      <w:r>
        <w:rPr>
          <w:rFonts w:ascii="仿宋_GB2312" w:hAnsi="仿宋_GB2312" w:cs="仿宋_GB2312" w:eastAsia="仿宋_GB2312"/>
        </w:rPr>
        <w:t>邮编：71077</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2025年课程开发、社区教育能力提升项目（课程资源开发及社区教育能力提升）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2025年课程开发、社区教育能力提升项目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标的名称：2025年课程开发、社区教育能力提升项目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0"/>
              </w:rPr>
              <w:t>一、课程资源开发</w:t>
            </w:r>
          </w:p>
          <w:p>
            <w:pPr>
              <w:pStyle w:val="null3"/>
            </w:pPr>
            <w:r>
              <w:rPr>
                <w:rFonts w:ascii="仿宋_GB2312" w:hAnsi="仿宋_GB2312" w:cs="仿宋_GB2312" w:eastAsia="仿宋_GB2312"/>
                <w:sz w:val="20"/>
              </w:rPr>
              <w:t>（一）项目概况</w:t>
            </w:r>
          </w:p>
          <w:p>
            <w:pPr>
              <w:pStyle w:val="null3"/>
            </w:pPr>
            <w:r>
              <w:rPr>
                <w:rFonts w:ascii="仿宋_GB2312" w:hAnsi="仿宋_GB2312" w:cs="仿宋_GB2312" w:eastAsia="仿宋_GB2312"/>
                <w:sz w:val="20"/>
              </w:rPr>
              <w:t>开发建设指定主题社区教育课程资源</w:t>
            </w:r>
            <w:r>
              <w:rPr>
                <w:rFonts w:ascii="仿宋_GB2312" w:hAnsi="仿宋_GB2312" w:cs="仿宋_GB2312" w:eastAsia="仿宋_GB2312"/>
                <w:sz w:val="20"/>
              </w:rPr>
              <w:t>50</w:t>
            </w:r>
            <w:r>
              <w:rPr>
                <w:rFonts w:ascii="仿宋_GB2312" w:hAnsi="仿宋_GB2312" w:cs="仿宋_GB2312" w:eastAsia="仿宋_GB2312"/>
                <w:sz w:val="20"/>
              </w:rPr>
              <w:t>门。</w:t>
            </w:r>
          </w:p>
          <w:p>
            <w:pPr>
              <w:pStyle w:val="null3"/>
            </w:pPr>
            <w:r>
              <w:rPr>
                <w:rFonts w:ascii="仿宋_GB2312" w:hAnsi="仿宋_GB2312" w:cs="仿宋_GB2312" w:eastAsia="仿宋_GB2312"/>
                <w:sz w:val="20"/>
              </w:rPr>
              <w:t>（二）技术要求</w:t>
            </w:r>
          </w:p>
          <w:p>
            <w:pPr>
              <w:pStyle w:val="null3"/>
            </w:pPr>
            <w:r>
              <w:rPr>
                <w:rFonts w:ascii="仿宋_GB2312" w:hAnsi="仿宋_GB2312" w:cs="仿宋_GB2312" w:eastAsia="仿宋_GB2312"/>
                <w:sz w:val="20"/>
              </w:rPr>
              <w:t>课程资源为微课形式，可以采用动画、实景等各种呈现方式；可以是单独或者系列课程，系列课程每小节时长不超过5分钟；采用mp4格式，分辨率1920*1080，视频帧率不低于30帧/秒；音频采集频率：32KHZ。</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0"/>
              </w:rPr>
              <w:t>二、社区教育能力提升</w:t>
            </w:r>
          </w:p>
          <w:p>
            <w:pPr>
              <w:pStyle w:val="null3"/>
            </w:pPr>
            <w:r>
              <w:rPr>
                <w:rFonts w:ascii="仿宋_GB2312" w:hAnsi="仿宋_GB2312" w:cs="仿宋_GB2312" w:eastAsia="仿宋_GB2312"/>
                <w:sz w:val="20"/>
              </w:rPr>
              <w:t>（一）项目概况</w:t>
            </w:r>
          </w:p>
          <w:p>
            <w:pPr>
              <w:pStyle w:val="null3"/>
            </w:pPr>
            <w:r>
              <w:rPr>
                <w:rFonts w:ascii="仿宋_GB2312" w:hAnsi="仿宋_GB2312" w:cs="仿宋_GB2312" w:eastAsia="仿宋_GB2312"/>
                <w:sz w:val="20"/>
              </w:rPr>
              <w:t>完善西安市社区教育发展顶层设计，提升西安市社区教育内涵。</w:t>
            </w:r>
          </w:p>
          <w:p>
            <w:pPr>
              <w:pStyle w:val="null3"/>
            </w:pPr>
            <w:r>
              <w:rPr>
                <w:rFonts w:ascii="仿宋_GB2312" w:hAnsi="仿宋_GB2312" w:cs="仿宋_GB2312" w:eastAsia="仿宋_GB2312"/>
                <w:sz w:val="20"/>
              </w:rPr>
              <w:t>（二）项目内容</w:t>
            </w:r>
          </w:p>
          <w:p>
            <w:pPr>
              <w:pStyle w:val="null3"/>
            </w:pPr>
            <w:r>
              <w:rPr>
                <w:rFonts w:ascii="仿宋_GB2312" w:hAnsi="仿宋_GB2312" w:cs="仿宋_GB2312" w:eastAsia="仿宋_GB2312"/>
                <w:sz w:val="20"/>
              </w:rPr>
              <w:t>借鉴兄弟城市社区（老年）教育先进经验做法，结合西安市社区教育资源分配、师资力量、课程设置、教学模式现状，积极搭建鼓励社会力量参与社区教育，形成政府主导、社会参与的社区教育新格局，提升我市社区（老年）教育管理能力，推动西安市社区教育内涵建设。</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配置能够满足采购需求的相应人员。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根据采购需求配置相应设施设备。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本项目采购标的所属行业为其他未列明行业。 其他未列明行业：从业人员300人以下的为中小微型企业。其中，从业人员100人及以上的为中型企业；从业人员10人及以上的为小型企业；从业人员10人以下的为微型企业。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自合同签订之日起至2025年11月30日止。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1.符合国家及行业相关标准、本项目合同、竞争性磋商文件、响应文件。 2.按照服务内容及要求，强化日常监督和考核，乙方配合甲方参与项目验收工作，并确保所服务项目内容符合本项目质量标准。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服务期结束且经采购人验收合格后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1.乙方应按合同约定时间完成各阶段合同义务，若发生延迟，乙方应向甲方支付合同总价款10%的违约金，且甲方有权单方解除本合同。但甲方书面同意延迟或因甲方原因导致延迟的，乙方不承担违约责任。 2.如甲方未能在本合同约定时间内支付款项，每延迟一天，甲方须向乙方承担迟延支付费用的0.5‰作为违约金，并将服务周期予以相应顺延。 3.本次活动因乙方原因导致侵害甲方或第三方合法权益的，应由乙方承担相应赔偿责任，并向甲方支付合同总价款10%的违约金。 4.若乙方未经甲方同意泄露本合同约定的任何秘密信息的，乙方应按照合同总价款的10%向甲方支付违约金，并赔偿因此给甲方造成的损失。 5.乙方保证向甲方开具发票的真实性、合法性，若乙方向甲方开具的发票存在真实性、合法性问题，给甲方造成损失的，乙方应按合同总价款的10%向甲方支付违约金，违约金不足以弥补损失的，乙方还应承担相应赔偿责任。 二、解决争议的方法：执行本合同过程中发生争议，应友好协商解决，协商不成的，任何一方可到甲方所在地人民法院提起诉讼。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1.特别注意:为顺利推进政府采购电子化交易平台应用工作，供应商需要在线提交所有通过电子化交易平台实施的政府采购项目的磋商响应文件。 2.成交供应商在采购结果发布后3个工作日内向代理机构提交纸质版响应文件以便于存档，响应文件正本1份，副本2份，电子版文件2份（以U盘为载体，电子版内容包括Word版本、签字盖章扫描后的PDF版本响应文件）。纸质响应文件均须A4纸打印，分别各自装订成册并编制目录和页码。线下递交响应文件地点：西安市雁塔区科技二路71号竹园·天寰国际1107室 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供应商应授权合法的人员参加磋商全过程，法定代表人授权代表参加磋商的，须出具法定代表人授权委托书：法定代表人授权委托书（附法定代表人身份证复印件及被授权人身份证复印件）；法定代表人直接参加磋商只需提供法定代表人资格证明书（附法定代表人身份证复印件）；采购文件凡是法定代表人之处，非法人单位的负责人均参照执行</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信用证明</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供应商须为具有独立承担民事责任能力的法人、其他组织或自然人</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提供2024年度经审计的完整有效财务报告，或其响应文件递交截止时间前三个月内基本开户银行出具的资信证明，或财政部门认可的政府采购专业担保机构出具的担保函（以上三种任意一项即可）。</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提供自2024年7月1日以来已缴存的任意1个月的社会保障资金缴存单据或社保机构开具的社会保险参保缴费情况证明；依法不需要缴纳社会保障资金的供应商应提供相关证明文件。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提供自2024年7月1日以来已缴纳的任意1个月的依法缴纳税收的相关凭据(时间以税款所属日期为准)，凭据应有税务机关或代收机关的公章或业务专用章；依法免税或无须缴纳税收的供应商，应提供相应证明文件。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提供具有履行合同所必需的设备和专业技术能力的书面承诺</w:t>
            </w:r>
          </w:p>
        </w:tc>
        <w:tc>
          <w:tcPr>
            <w:tcW w:type="dxa" w:w="3322"/>
          </w:tcPr>
          <w:p>
            <w:pPr>
              <w:pStyle w:val="null3"/>
            </w:pPr>
            <w:r>
              <w:rPr>
                <w:rFonts w:ascii="仿宋_GB2312" w:hAnsi="仿宋_GB2312" w:cs="仿宋_GB2312" w:eastAsia="仿宋_GB2312"/>
              </w:rPr>
              <w:t>提供具有履行合同所必需的设备和专业技术能力的书面承诺，加盖供应商公章。</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提供参加政府采购活动前三年内在经营活动中没有重大违法记录的书面声明，加盖供应商公章。</w:t>
            </w:r>
          </w:p>
        </w:tc>
        <w:tc>
          <w:tcPr>
            <w:tcW w:type="dxa" w:w="1661"/>
          </w:tcPr>
          <w:p>
            <w:pPr>
              <w:pStyle w:val="null3"/>
            </w:pPr>
            <w:r>
              <w:rPr>
                <w:rFonts w:ascii="仿宋_GB2312" w:hAnsi="仿宋_GB2312" w:cs="仿宋_GB2312" w:eastAsia="仿宋_GB2312"/>
              </w:rPr>
              <w:t>一般资格要求及特殊资格要求.docx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一般资格要求及特殊资格要求.docx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业绩.docx 商务要求偏离表.docx 服务要求应答表.docx 中小企业声明函 报价表 其他材料及供应商认为有必要说明、阐述的事项.docx 响应文件封面 一般资格要求及特殊资格要求.docx 供应商廉洁自律承诺书.docx 供应商企业关系关联承诺书.docx 残疾人福利性单位声明函 标的清单 响应函 监狱企业的证明文件 总服务方案.docx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商务要求偏离表.docx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响应内容出现漏项或数量与要求不符，商务要求或技术要求出现实质性偏差；2.要求全面响应磋商文件，不能有任何采购人不能接受的附加条件；3.规定不接受选择方案和选择报价（包括交叉折扣）的，供应商提供了选择方案/或选择报价（包括交叉折扣）；4.提供虚假证明，开具虚假资质，出现虚假应答。</w:t>
            </w:r>
          </w:p>
        </w:tc>
        <w:tc>
          <w:tcPr>
            <w:tcW w:type="dxa" w:w="1661"/>
          </w:tcPr>
          <w:p>
            <w:pPr>
              <w:pStyle w:val="null3"/>
            </w:pPr>
            <w:r>
              <w:rPr>
                <w:rFonts w:ascii="仿宋_GB2312" w:hAnsi="仿宋_GB2312" w:cs="仿宋_GB2312" w:eastAsia="仿宋_GB2312"/>
              </w:rPr>
              <w:t>业绩.docx 商务要求偏离表.docx 服务要求应答表.docx 中小企业声明函 报价表 其他材料及供应商认为有必要说明、阐述的事项.docx 响应文件封面 一般资格要求及特殊资格要求.docx 供应商廉洁自律承诺书.docx 供应商企业关系关联承诺书.docx 残疾人福利性单位声明函 标的清单 响应函 监狱企业的证明文件 总服务方案.docx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供应商2022年5月1日至今承担过类似项目业绩，每提供1份类似项目业绩得2分，最高得6分。弄虚作假者，取消其成交资格。（以加盖供应商公章的合同扫描件为准，日期以合同签订日期为准）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管理体系及制度</w:t>
            </w:r>
          </w:p>
        </w:tc>
        <w:tc>
          <w:tcPr>
            <w:tcW w:type="dxa" w:w="2492"/>
          </w:tcPr>
          <w:p>
            <w:pPr>
              <w:pStyle w:val="null3"/>
            </w:pPr>
            <w:r>
              <w:rPr>
                <w:rFonts w:ascii="仿宋_GB2312" w:hAnsi="仿宋_GB2312" w:cs="仿宋_GB2312" w:eastAsia="仿宋_GB2312"/>
              </w:rPr>
              <w:t>一、评审内容 针对本项目提供详细的项目总体理解及规划，包括但不限于①企业基本情况；②内控制度；③安全管理体系制度；④服务质量标准；⑤工作管理体系制度等内容。 二、评审标准 完善性：方案必须全面，对评审内容中的各项要求有详细阐述； 可实施性：切合本项目实际情况，提出步骤清晰、合理的方案； 针对性：方案能够紧扣项目实际情况，内容科学合理。 上述5项评审内容全部满足评审标准得15分，每有一个评审内容缺项扣3分，每有一项评审内容存在缺陷，扣（0-3）分，扣完为止。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项目总体理解及规划</w:t>
            </w:r>
          </w:p>
        </w:tc>
        <w:tc>
          <w:tcPr>
            <w:tcW w:type="dxa" w:w="2492"/>
          </w:tcPr>
          <w:p>
            <w:pPr>
              <w:pStyle w:val="null3"/>
            </w:pPr>
            <w:r>
              <w:rPr>
                <w:rFonts w:ascii="仿宋_GB2312" w:hAnsi="仿宋_GB2312" w:cs="仿宋_GB2312" w:eastAsia="仿宋_GB2312"/>
              </w:rPr>
              <w:t>一、以评审内容 针对本项目提供详细的项目总体理解及规划，包括但不限于①对本项目的总体认识；②对本项目的理解；③对本项目的整体规划等内容。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上述3项评审内容全部满足评审标准得15分，每有一个评审内容缺项扣5分，每有一项评审内容存在缺陷，扣（0-5）分，扣完为止。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针对本项目提供详细的服务方案包括但不限于①课程资源开发方案；②社区教育能力提升方案等内容。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上述2项评审内容全部满足评审标准得10分，每有一个评审内容缺项扣5分，每有一项评审内容存在缺陷，扣（0-5）分，扣完为止。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一、评审内容 针对本项目提供详细完善的质量保障措施，包括但不限于①进度计划；②进度保障措施；③人员安排；④设备投入保障措施等内容。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上述4项评审内容全部满足评审标准得20分，每有一个评审内容缺项扣5分，每有一项评审内容存在缺陷，扣（0-5）分，扣完为止。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针对本项目提供完善的应急预案，包括但不限于①针对突发、紧急、重大情况的应急处理预案；②项目实施过程中人员变动等内容。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上述2项评审内容全部满足评审标准得10分，每有一个评审内容缺项扣5分，每有一项评审内容存在缺陷，扣（0-5）分，扣完为止。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针对本项目提供具体可行的服务承诺及合理化建议，包括但不限于①服务质量承诺；②服务响应时限、人员到位、安全保障、不能完全履行承诺时愿意接受相关处罚等以及其他服务的承诺。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上述2项评审内容全部满足评审标准得10分，每有一个评审内容缺项扣5分，每有一项评审内容存在缺陷，扣（0-5）分，扣完为止。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vMerge/>
          </w:tcPr>
          <w:p/>
        </w:tc>
        <w:tc>
          <w:tcPr>
            <w:tcW w:type="dxa" w:w="1661"/>
          </w:tcPr>
          <w:p>
            <w:pPr>
              <w:pStyle w:val="null3"/>
            </w:pPr>
            <w:r>
              <w:rPr>
                <w:rFonts w:ascii="仿宋_GB2312" w:hAnsi="仿宋_GB2312" w:cs="仿宋_GB2312" w:eastAsia="仿宋_GB2312"/>
              </w:rPr>
              <w:t>合理化 建议</w:t>
            </w:r>
          </w:p>
        </w:tc>
        <w:tc>
          <w:tcPr>
            <w:tcW w:type="dxa" w:w="2492"/>
          </w:tcPr>
          <w:p>
            <w:pPr>
              <w:pStyle w:val="null3"/>
            </w:pPr>
            <w:r>
              <w:rPr>
                <w:rFonts w:ascii="仿宋_GB2312" w:hAnsi="仿宋_GB2312" w:cs="仿宋_GB2312" w:eastAsia="仿宋_GB2312"/>
              </w:rPr>
              <w:t>针对本项目采购需求及项目实际情况，能够提出有价值的合理化建议，且具体切实可行，有利于提升本项目整体服务质量。 （1）建议合理、切实可行，内容详尽、全面，计3-4分； （2）建议较合理、可行，内容较详尽、全面，计2-3分； （3）建议基本合理、可行，内容基本详尽、全面，计1-2分； （4）未提供不得分。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满足磋商文件要求且磋商总报价最低为评审基准价，其价格分为满分。 报价得分=（评审基准价／最终报价）×权值×100。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详见附件：服务要求应答表.docx</w:t>
      </w:r>
    </w:p>
    <w:p>
      <w:pPr>
        <w:pStyle w:val="null3"/>
        <w:ind w:firstLine="960"/>
      </w:pPr>
      <w:r>
        <w:rPr>
          <w:rFonts w:ascii="仿宋_GB2312" w:hAnsi="仿宋_GB2312" w:cs="仿宋_GB2312" w:eastAsia="仿宋_GB2312"/>
        </w:rPr>
        <w:t>详见附件：商务要求偏离表.docx</w:t>
      </w:r>
    </w:p>
    <w:p>
      <w:pPr>
        <w:pStyle w:val="null3"/>
        <w:ind w:firstLine="960"/>
      </w:pPr>
      <w:r>
        <w:rPr>
          <w:rFonts w:ascii="仿宋_GB2312" w:hAnsi="仿宋_GB2312" w:cs="仿宋_GB2312" w:eastAsia="仿宋_GB2312"/>
        </w:rPr>
        <w:t>详见附件：总服务方案.docx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详见附件：一般资格要求及特殊资格要求.docx</w:t>
      </w:r>
    </w:p>
    <w:p>
      <w:pPr>
        <w:pStyle w:val="null3"/>
        <w:ind w:firstLine="960"/>
      </w:pPr>
      <w:r>
        <w:rPr>
          <w:rFonts w:ascii="仿宋_GB2312" w:hAnsi="仿宋_GB2312" w:cs="仿宋_GB2312" w:eastAsia="仿宋_GB2312"/>
        </w:rPr>
        <w:t>详见附件：供应商廉洁自律承诺书.docx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详见附件：其他材料及供应商认为有必要说明、阐述的事项.docx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