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版本号：HDZZ[2025]34020250805001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2025年度促进“民参军”企业发展系列活动项目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HDZZ[2025]340</w:t>
      </w:r>
      <w:r>
        <w:br/>
      </w:r>
      <w:r>
        <w:br/>
      </w:r>
      <w:r>
        <w:br/>
      </w:r>
    </w:p>
    <w:p>
      <w:pPr>
        <w:pStyle w:val="null3"/>
        <w:jc w:val="center"/>
        <w:outlineLvl w:val="2"/>
      </w:pPr>
      <w:r>
        <w:rPr>
          <w:rFonts w:ascii="仿宋_GB2312" w:hAnsi="仿宋_GB2312" w:cs="仿宋_GB2312" w:eastAsia="仿宋_GB2312"/>
          <w:sz w:val="28"/>
          <w:b/>
        </w:rPr>
        <w:t>中共西安市委军民融合发展委员会办公室（本级）</w:t>
      </w:r>
    </w:p>
    <w:p>
      <w:pPr>
        <w:pStyle w:val="null3"/>
        <w:jc w:val="center"/>
        <w:outlineLvl w:val="2"/>
      </w:pPr>
      <w:r>
        <w:rPr>
          <w:rFonts w:ascii="仿宋_GB2312" w:hAnsi="仿宋_GB2312" w:cs="仿宋_GB2312" w:eastAsia="仿宋_GB2312"/>
          <w:sz w:val="28"/>
          <w:b/>
        </w:rPr>
        <w:t>华鼎工程咨询集团有限公司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华鼎工程咨询集团有限公司</w:t>
      </w:r>
      <w:r>
        <w:rPr>
          <w:rFonts w:ascii="仿宋_GB2312" w:hAnsi="仿宋_GB2312" w:cs="仿宋_GB2312" w:eastAsia="仿宋_GB2312"/>
        </w:rPr>
        <w:t>（以下简称“代理机构”）受</w:t>
      </w:r>
      <w:r>
        <w:rPr>
          <w:rFonts w:ascii="仿宋_GB2312" w:hAnsi="仿宋_GB2312" w:cs="仿宋_GB2312" w:eastAsia="仿宋_GB2312"/>
        </w:rPr>
        <w:t>中共西安市委军民融合发展委员会办公室（本级）</w:t>
      </w:r>
      <w:r>
        <w:rPr>
          <w:rFonts w:ascii="仿宋_GB2312" w:hAnsi="仿宋_GB2312" w:cs="仿宋_GB2312" w:eastAsia="仿宋_GB2312"/>
        </w:rPr>
        <w:t>委托，拟对</w:t>
      </w:r>
      <w:r>
        <w:rPr>
          <w:rFonts w:ascii="仿宋_GB2312" w:hAnsi="仿宋_GB2312" w:cs="仿宋_GB2312" w:eastAsia="仿宋_GB2312"/>
        </w:rPr>
        <w:t>2025年度促进“民参军”企业发展系列活动项目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HDZZ[2025]340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2025年度促进“民参军”企业发展系列活动项目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委托第三方配合组织开展2025年“民参军”企业发展促进系列活动。主要功能或目标:通过活动举办，进一步激发企业“参军”热情，更好地为“保军”做好服务和保障。需满足的要求:要求按照具体合同内容，圆满完成活动，满足活动的策划、组织、宣传等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采购包1（2025年度促进“民参军”企业发展系列活动项目）：属于专门面向中小企业采购。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查询：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3、不接受联合体磋商：不接受联合体磋商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中共西安市委军民融合发展委员会办公室（本级）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西安市未央区红旗东路888号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029-81709812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华鼎工程咨询集团有限公司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陕西省西安市曲江新区曲江国际金融中心11层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029-83644082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肖女士/18192835675</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029-83644082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代理服务费收费标准：8000.00元（大写：捌仟元整） 由成交供应商在领取成交通知书前一次性支付。 招标代理费缴纳到以下账号： 户名：华鼎工程咨询集团有限公司 账号：3700020519024533483 开户行：中国工商银行西安北大街支行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中共西安市委军民融合发展委员会办公室（本级）</w:t>
      </w:r>
      <w:r>
        <w:rPr>
          <w:rFonts w:ascii="仿宋_GB2312" w:hAnsi="仿宋_GB2312" w:cs="仿宋_GB2312" w:eastAsia="仿宋_GB2312"/>
        </w:rPr>
        <w:t>和</w:t>
      </w:r>
      <w:r>
        <w:rPr>
          <w:rFonts w:ascii="仿宋_GB2312" w:hAnsi="仿宋_GB2312" w:cs="仿宋_GB2312" w:eastAsia="仿宋_GB2312"/>
        </w:rPr>
        <w:t>华鼎工程咨询集团有限公司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中共西安市委军民融合发展委员会办公室（本级）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华鼎工程咨询集团有限公司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中共西安市委军民融合发展委员会办公室（本级）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华鼎工程咨询集团有限公司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依据竞争性磋商文件、磋商响应文件、澄清表（函）、合同内容及附件文本；合同签订时国家及行业现行的验收标准。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联系人：肖女士</w:t>
      </w:r>
    </w:p>
    <w:p>
      <w:pPr>
        <w:pStyle w:val="null3"/>
      </w:pPr>
      <w:r>
        <w:rPr>
          <w:rFonts w:ascii="仿宋_GB2312" w:hAnsi="仿宋_GB2312" w:cs="仿宋_GB2312" w:eastAsia="仿宋_GB2312"/>
        </w:rPr>
        <w:t>联系电话：18192835675</w:t>
      </w:r>
    </w:p>
    <w:p>
      <w:pPr>
        <w:pStyle w:val="null3"/>
      </w:pPr>
      <w:r>
        <w:rPr>
          <w:rFonts w:ascii="仿宋_GB2312" w:hAnsi="仿宋_GB2312" w:cs="仿宋_GB2312" w:eastAsia="仿宋_GB2312"/>
        </w:rPr>
        <w:t>地址：陕西省西安市曲江新区曲江国际金融中心11层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委托第三方配合组织开展2025年“民参军”企业发展促进系列活动。主要功能或目标:通过活动举办，进一步激发企业“参军”热情，更好地为“保军”做好服务和保障。需满足的要求:要求按照具体合同内容，圆满完成活动，满足活动的策划、组织、宣传等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w:t>
            </w:r>
            <w:r>
              <w:rPr>
                <w:rFonts w:ascii="仿宋_GB2312" w:hAnsi="仿宋_GB2312" w:cs="仿宋_GB2312" w:eastAsia="仿宋_GB2312"/>
                <w:sz w:val="24"/>
              </w:rPr>
              <w:t>活动目的</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、激发“民参军”企业活力。</w:t>
            </w:r>
            <w:r>
              <w:rPr>
                <w:rFonts w:ascii="仿宋_GB2312" w:hAnsi="仿宋_GB2312" w:cs="仿宋_GB2312" w:eastAsia="仿宋_GB2312"/>
                <w:sz w:val="24"/>
              </w:rPr>
              <w:t>通过活动，打破信息壁垒，提升民口企业自身发展实力以及参军能力，推动更多民营企业参与国防科技工业建设。</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、提升融合企业能力</w:t>
            </w:r>
            <w:r>
              <w:rPr>
                <w:rFonts w:ascii="仿宋_GB2312" w:hAnsi="仿宋_GB2312" w:cs="仿宋_GB2312" w:eastAsia="仿宋_GB2312"/>
                <w:sz w:val="24"/>
              </w:rPr>
              <w:t>。通过项目路演、金融辅导等多种方式，引导更多社会资本、创新资源向融合汇聚，培育一批具有核心竞争力的融合企业，为西安高质量发展增添新动力。</w:t>
            </w:r>
          </w:p>
          <w:p>
            <w:pPr>
              <w:pStyle w:val="null3"/>
              <w:jc w:val="both"/>
            </w:pPr>
            <w:r>
              <w:rPr>
                <w:rFonts w:ascii="仿宋_GB2312" w:hAnsi="仿宋_GB2312" w:cs="仿宋_GB2312" w:eastAsia="仿宋_GB2312"/>
                <w:sz w:val="24"/>
              </w:rPr>
              <w:t>二、活动内容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、第一期：“金融赋能产业融合”对接交流活动</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“金融赋能产业融合”对接交流会</w:t>
            </w:r>
          </w:p>
          <w:p>
            <w:pPr>
              <w:pStyle w:val="null3"/>
              <w:jc w:val="both"/>
            </w:pPr>
            <w:r>
              <w:rPr>
                <w:rFonts w:ascii="仿宋_GB2312" w:hAnsi="仿宋_GB2312" w:cs="仿宋_GB2312" w:eastAsia="仿宋_GB2312"/>
                <w:sz w:val="24"/>
                <w:b/>
              </w:rPr>
              <w:t>主要内容：</w:t>
            </w:r>
            <w:r>
              <w:rPr>
                <w:rFonts w:ascii="仿宋_GB2312" w:hAnsi="仿宋_GB2312" w:cs="仿宋_GB2312" w:eastAsia="仿宋_GB2312"/>
                <w:sz w:val="24"/>
              </w:rPr>
              <w:t>搭建金融服务对接交流平台，实现金融资源与企业需求的高效精准衔接，加速企业项目融资进程与成长动能培育，全面提升金融服务赋能实体经济的质效与能级。</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金融座谈会</w:t>
            </w:r>
          </w:p>
          <w:p>
            <w:pPr>
              <w:pStyle w:val="null3"/>
              <w:jc w:val="both"/>
            </w:pPr>
            <w:r>
              <w:rPr>
                <w:rFonts w:ascii="仿宋_GB2312" w:hAnsi="仿宋_GB2312" w:cs="仿宋_GB2312" w:eastAsia="仿宋_GB2312"/>
                <w:sz w:val="24"/>
                <w:b/>
              </w:rPr>
              <w:t>主要内容：</w:t>
            </w:r>
            <w:r>
              <w:rPr>
                <w:rFonts w:ascii="仿宋_GB2312" w:hAnsi="仿宋_GB2312" w:cs="仿宋_GB2312" w:eastAsia="仿宋_GB2312"/>
                <w:sz w:val="24"/>
              </w:rPr>
              <w:t>组织金融机构负责人展开座谈交流，系统探讨金融资本赋能融合深度发展的有效路径。</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基金座谈会</w:t>
            </w:r>
          </w:p>
          <w:p>
            <w:pPr>
              <w:pStyle w:val="null3"/>
              <w:jc w:val="both"/>
            </w:pPr>
            <w:r>
              <w:rPr>
                <w:rFonts w:ascii="仿宋_GB2312" w:hAnsi="仿宋_GB2312" w:cs="仿宋_GB2312" w:eastAsia="仿宋_GB2312"/>
                <w:sz w:val="24"/>
                <w:b/>
              </w:rPr>
              <w:t>主要内容：</w:t>
            </w:r>
            <w:r>
              <w:rPr>
                <w:rFonts w:ascii="仿宋_GB2312" w:hAnsi="仿宋_GB2312" w:cs="仿宋_GB2312" w:eastAsia="仿宋_GB2312"/>
                <w:sz w:val="24"/>
              </w:rPr>
              <w:t>组织基金管理机构负责人展开座谈交流，系统探讨基金赋能融合深度发展的有效路</w:t>
            </w:r>
            <w:r>
              <w:rPr>
                <w:rFonts w:ascii="仿宋_GB2312" w:hAnsi="仿宋_GB2312" w:cs="仿宋_GB2312" w:eastAsia="仿宋_GB2312"/>
                <w:sz w:val="24"/>
              </w:rPr>
              <w:t>径。</w:t>
            </w:r>
          </w:p>
          <w:p>
            <w:pPr>
              <w:pStyle w:val="null3"/>
              <w:jc w:val="both"/>
            </w:pPr>
            <w:r>
              <w:rPr>
                <w:rFonts w:ascii="仿宋_GB2312" w:hAnsi="仿宋_GB2312" w:cs="仿宋_GB2312" w:eastAsia="仿宋_GB2312"/>
                <w:sz w:val="24"/>
              </w:rPr>
              <w:t xml:space="preserve">（二）第二期：“军地协同共创未来”供需对接会（开展3场） </w:t>
            </w:r>
          </w:p>
          <w:p>
            <w:pPr>
              <w:pStyle w:val="null3"/>
              <w:jc w:val="both"/>
            </w:pPr>
            <w:r>
              <w:rPr>
                <w:rFonts w:ascii="仿宋_GB2312" w:hAnsi="仿宋_GB2312" w:cs="仿宋_GB2312" w:eastAsia="仿宋_GB2312"/>
                <w:sz w:val="24"/>
              </w:rPr>
              <w:t>组织西安市 “民参军”企业赴有关单位参观、座谈交流，设有航空领域专场、航天领域专场、兵器领域专场不同场次，对接合作需求，双方共同发掘产业发展的新机遇与新未来。</w:t>
            </w:r>
          </w:p>
          <w:p>
            <w:pPr>
              <w:pStyle w:val="null3"/>
              <w:jc w:val="both"/>
            </w:pPr>
            <w:r>
              <w:rPr>
                <w:rFonts w:ascii="仿宋_GB2312" w:hAnsi="仿宋_GB2312" w:cs="仿宋_GB2312" w:eastAsia="仿宋_GB2312"/>
                <w:sz w:val="24"/>
              </w:rPr>
              <w:t>三、服务期限</w:t>
            </w:r>
          </w:p>
          <w:p>
            <w:pPr>
              <w:pStyle w:val="null3"/>
              <w:jc w:val="both"/>
            </w:pPr>
            <w:r>
              <w:rPr>
                <w:rFonts w:ascii="仿宋_GB2312" w:hAnsi="仿宋_GB2312" w:cs="仿宋_GB2312" w:eastAsia="仿宋_GB2312"/>
                <w:sz w:val="24"/>
              </w:rPr>
              <w:t xml:space="preserve"> 2025</w:t>
            </w:r>
            <w:r>
              <w:rPr>
                <w:rFonts w:ascii="仿宋_GB2312" w:hAnsi="仿宋_GB2312" w:cs="仿宋_GB2312" w:eastAsia="仿宋_GB2312"/>
                <w:sz w:val="24"/>
              </w:rPr>
              <w:t>年11月30日前全部完成</w:t>
            </w:r>
          </w:p>
          <w:p>
            <w:pPr>
              <w:pStyle w:val="null3"/>
              <w:jc w:val="both"/>
            </w:pPr>
            <w:r>
              <w:rPr>
                <w:rFonts w:ascii="仿宋_GB2312" w:hAnsi="仿宋_GB2312" w:cs="仿宋_GB2312" w:eastAsia="仿宋_GB2312"/>
                <w:sz w:val="24"/>
              </w:rPr>
              <w:t>四、付款方式</w:t>
            </w:r>
          </w:p>
          <w:p>
            <w:pPr>
              <w:pStyle w:val="null3"/>
            </w:pPr>
            <w:r>
              <w:rPr>
                <w:rFonts w:ascii="仿宋_GB2312" w:hAnsi="仿宋_GB2312" w:cs="仿宋_GB2312" w:eastAsia="仿宋_GB2312"/>
                <w:sz w:val="24"/>
              </w:rPr>
              <w:t>合同支付约定：</w:t>
            </w:r>
          </w:p>
          <w:p>
            <w:pPr>
              <w:pStyle w:val="null3"/>
            </w:pPr>
            <w:r>
              <w:rPr>
                <w:rFonts w:ascii="仿宋_GB2312" w:hAnsi="仿宋_GB2312" w:cs="仿宋_GB2312" w:eastAsia="仿宋_GB2312"/>
                <w:sz w:val="24"/>
              </w:rPr>
              <w:t>1</w:t>
            </w:r>
            <w:r>
              <w:rPr>
                <w:rFonts w:ascii="仿宋_GB2312" w:hAnsi="仿宋_GB2312" w:cs="仿宋_GB2312" w:eastAsia="仿宋_GB2312"/>
                <w:sz w:val="24"/>
              </w:rPr>
              <w:t>、付款条件说明：签订合同后乙方向甲方开具增值税发票，甲方收到发票后，达到付款条件起15日内，支付合同总金额的30%。</w:t>
            </w:r>
          </w:p>
          <w:p>
            <w:pPr>
              <w:pStyle w:val="null3"/>
            </w:pPr>
            <w:r>
              <w:rPr>
                <w:rFonts w:ascii="仿宋_GB2312" w:hAnsi="仿宋_GB2312" w:cs="仿宋_GB2312" w:eastAsia="仿宋_GB2312"/>
                <w:sz w:val="24"/>
              </w:rPr>
              <w:t>2</w:t>
            </w:r>
            <w:r>
              <w:rPr>
                <w:rFonts w:ascii="仿宋_GB2312" w:hAnsi="仿宋_GB2312" w:cs="仿宋_GB2312" w:eastAsia="仿宋_GB2312"/>
                <w:sz w:val="24"/>
              </w:rPr>
              <w:t>、付款条件说明：乙方协助甲方编制活动方案，达到付款条件起15日内，支付合同总金额的40%。</w:t>
            </w:r>
          </w:p>
          <w:p>
            <w:pPr>
              <w:pStyle w:val="null3"/>
            </w:pPr>
            <w:r>
              <w:rPr>
                <w:rFonts w:ascii="仿宋_GB2312" w:hAnsi="仿宋_GB2312" w:cs="仿宋_GB2312" w:eastAsia="仿宋_GB2312"/>
                <w:sz w:val="24"/>
              </w:rPr>
              <w:t>3</w:t>
            </w:r>
            <w:r>
              <w:rPr>
                <w:rFonts w:ascii="仿宋_GB2312" w:hAnsi="仿宋_GB2312" w:cs="仿宋_GB2312" w:eastAsia="仿宋_GB2312"/>
                <w:sz w:val="24"/>
              </w:rPr>
              <w:t>、付款条件说明：乙方完成合同约定的所有工作内容，经甲方验收通过后，达到付款条件起15日内，支付合同总金额的30%。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2025年11月30 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签订合同后乙方向甲方开具增值税发票，甲方收到发票后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乙方协助甲方编制活动方案</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乙方完成合同约定的所有工作内容，经甲方验收通过后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1、具有独立承担民事责任能力的合法注册的法人或其他组织或自然人，提供有效的营业执照或事业单位法人证书或其他，自然人提供其身份证明；2、税收缴纳证明递交响应文件截止时间前一年内至少一个月的纳税证明或税务机关开具的完税证明（任意税种），纳税证明或完税证明上应有代收机构或税务机关的公章或业务专用章，依法免税的单位应提供相关证明材料；3、社会保障资金缴纳证明：递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以上二种形式的资料提供任何一种即可）；4、具有履行本合同所必需的设备和专业技术能力的说明及承诺（提供承诺书）；5、出具参加本次政府采购活动前三年内在经营活动中没有重大违法记录的书面声明； 注：事业单位参与磋商可不提供财务状况报告、社会保障资金缴纳证明及税收缴纳证明。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和盖章。成立时间至提交响应文件截止时间不足一年的可提供成立后任意时段的资产负债表），或2025年2月1日至今期间银行出具的资信证明（附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供应商性质声明函.docx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法定代表人（主要负责人）身份证明书法定代表人（主要负责人）授权委托书.docx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所有提交的证件、资质、文件与印章一致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响应文件封面 供应商认为需要提供的其他资料.docx 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 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技术、服务、商务及其他要求响应</w:t>
            </w:r>
          </w:p>
        </w:tc>
        <w:tc>
          <w:tcPr>
            <w:tcW w:type="dxa" w:w="3322"/>
          </w:tcPr>
          <w:p>
            <w:pPr>
              <w:pStyle w:val="null3"/>
            </w:pPr>
            <w:r>
              <w:rPr>
                <w:rFonts w:ascii="仿宋_GB2312" w:hAnsi="仿宋_GB2312" w:cs="仿宋_GB2312" w:eastAsia="仿宋_GB2312"/>
              </w:rPr>
              <w:t>响应磋商文件中技术、服务、商务及其他要求内容，未含有采购人不能接受的附加条件</w:t>
            </w:r>
          </w:p>
        </w:tc>
        <w:tc>
          <w:tcPr>
            <w:tcW w:type="dxa" w:w="1661"/>
          </w:tcPr>
          <w:p>
            <w:pPr>
              <w:pStyle w:val="null3"/>
            </w:pPr>
            <w:r>
              <w:rPr>
                <w:rFonts w:ascii="仿宋_GB2312" w:hAnsi="仿宋_GB2312" w:cs="仿宋_GB2312" w:eastAsia="仿宋_GB2312"/>
              </w:rPr>
              <w:t>响应说明.docx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提供2022年1月1日至今类似项目业绩（以签订的合同为准），每提供一份得2分，最高得6分。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针对本项目提供售后服务方案及措施。方案完整详细、措施合理、有实质性承诺得（7-10】分；方案一般得（4-7】分；售方案不完整的（1-4】分。未提供不得分。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针对本次服务提供整体服务方案、服务计划及流程。服务方案完善、流程清晰科学、可行性强得（13-18】；服务方案一般得（得（6-13】分；服务方案不完善得（1-6】分。未提供不得分。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针对活动进行过程中存在的难点、重点分析透彻、有预期效果，若未达到预期效果的解决措施，并能提供相应处理方案。 重难点分析清晰准确、方案合理完善，可行性高（7-10】分；重难点分析基本合理、方案详细，可行性一般（得（4-7】分；重难点分析一般、方案简单，可行性不强（1-4】分。未提供不得分。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质量及进度保证措施</w:t>
            </w:r>
          </w:p>
        </w:tc>
        <w:tc>
          <w:tcPr>
            <w:tcW w:type="dxa" w:w="2492"/>
          </w:tcPr>
          <w:p>
            <w:pPr>
              <w:pStyle w:val="null3"/>
            </w:pPr>
            <w:r>
              <w:rPr>
                <w:rFonts w:ascii="仿宋_GB2312" w:hAnsi="仿宋_GB2312" w:cs="仿宋_GB2312" w:eastAsia="仿宋_GB2312"/>
              </w:rPr>
              <w:t>有严格的质量控制、过程控制，对服务质量及进度保证有具体措施。质量控制及进度保证措施详细、完整、具有可操作性得（7-10】分；质量控制及进度保证措施存在缺漏，可操作性一般得（得（4-7】分；有分析，但方案简略，可行性、合理性差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活动安排</w:t>
            </w:r>
          </w:p>
        </w:tc>
        <w:tc>
          <w:tcPr>
            <w:tcW w:type="dxa" w:w="2492"/>
          </w:tcPr>
          <w:p>
            <w:pPr>
              <w:pStyle w:val="null3"/>
            </w:pPr>
            <w:r>
              <w:rPr>
                <w:rFonts w:ascii="仿宋_GB2312" w:hAnsi="仿宋_GB2312" w:cs="仿宋_GB2312" w:eastAsia="仿宋_GB2312"/>
              </w:rPr>
              <w:t>针对开展活动的酒店选择（含餐饮）提供具体方案。方案详细，环境舒适，就餐服务周到、安全卫生得（8-12】分；方案合理，环境良好，就餐安全卫生（得（4-8】分；方案简单，酒店环境一般，就餐卫生差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根据投入的师资力量及团队人员的相关经验、能力，人员配备（包括但不限于在类似项目从业经历、知识水平、教学能力、职称证明等） 人员配置合理、经验丰富得（8-12】分；人员配置较合理（4-8】分；人员配置一般得（1-4】分。未提供不得分。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满足本项目实际需要，对现场布置、设施设备、相关资料等进行描述。 满足本项目实际需要、设施设备齐全得（5-6】分； 基本满足项目需要、设施设备合理（3-5】分；设施设备一般（1-3】分。未提供不得分。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针对项目特殊性，有详细可行、针对性强的保密管理办法以及安全管理制度。方案完整详细、制度合理得（5-6】分；方案较完整合理得（3-5】分；方案不完整得（1-3】分。未提供不得分。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价格分采用低价优先法计算，即满足竞争性磋商文件要求且磋商报价最低的报价为评审基准价，其价格分为满分。其他供应商的价格分统一按照下列公式计算： 磋商报价得分=（评审基准价/磋商报价）×10， 注：计算分数时四舍五入取小数点后两位。各供应商的磋商最终报价参与价格分评审。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详见附件：法定代表人（主要负责人）身份证明书法定代表人（主要负责人）授权委托书.docx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详见附件：响应说明.docx</w:t>
      </w:r>
    </w:p>
    <w:p>
      <w:pPr>
        <w:pStyle w:val="null3"/>
        <w:ind w:firstLine="960"/>
      </w:pPr>
      <w:r>
        <w:rPr>
          <w:rFonts w:ascii="仿宋_GB2312" w:hAnsi="仿宋_GB2312" w:cs="仿宋_GB2312" w:eastAsia="仿宋_GB2312"/>
        </w:rPr>
        <w:t>详见附件：供应商性质声明函.docx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详见附件：技术部分响应文件.docx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