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EC249">
      <w:pPr>
        <w:rPr>
          <w:rFonts w:hint="eastAsia" w:ascii="宋体" w:hAnsi="宋体"/>
          <w:b/>
          <w:sz w:val="32"/>
          <w:szCs w:val="32"/>
          <w:highlight w:val="none"/>
        </w:rPr>
      </w:pPr>
      <w:r>
        <w:rPr>
          <w:rFonts w:hint="eastAsia" w:ascii="宋体" w:hAnsi="宋体"/>
          <w:b/>
          <w:sz w:val="32"/>
          <w:szCs w:val="32"/>
          <w:highlight w:val="none"/>
        </w:rPr>
        <w:t>政府采购项目</w:t>
      </w:r>
    </w:p>
    <w:p w14:paraId="27993B1D">
      <w:pPr>
        <w:jc w:val="both"/>
        <w:rPr>
          <w:rFonts w:hint="eastAsia" w:ascii="宋体" w:hAnsi="宋体" w:eastAsia="宋体"/>
          <w:sz w:val="52"/>
          <w:szCs w:val="52"/>
          <w:highlight w:val="none"/>
          <w:lang w:eastAsia="zh-CN"/>
        </w:rPr>
      </w:pPr>
    </w:p>
    <w:p w14:paraId="58CE80B0">
      <w:pPr>
        <w:ind w:firstLine="1898" w:firstLineChars="350"/>
        <w:rPr>
          <w:rFonts w:hint="eastAsia" w:ascii="宋体" w:hAnsi="宋体"/>
          <w:b/>
          <w:spacing w:val="-20"/>
          <w:sz w:val="58"/>
          <w:szCs w:val="58"/>
          <w:highlight w:val="none"/>
        </w:rPr>
      </w:pPr>
      <w:r>
        <w:rPr>
          <w:rFonts w:hint="eastAsia" w:ascii="宋体" w:hAnsi="宋体"/>
          <w:b/>
          <w:spacing w:val="-20"/>
          <w:sz w:val="58"/>
          <w:szCs w:val="58"/>
          <w:highlight w:val="none"/>
        </w:rPr>
        <w:t>X X X X X X</w:t>
      </w:r>
      <w:r>
        <w:rPr>
          <w:rFonts w:hint="eastAsia" w:ascii="宋体" w:hAnsi="宋体"/>
          <w:b/>
          <w:color w:val="FF0000"/>
          <w:spacing w:val="-20"/>
          <w:sz w:val="58"/>
          <w:szCs w:val="58"/>
          <w:highlight w:val="none"/>
        </w:rPr>
        <w:t>（项目名称）</w:t>
      </w:r>
    </w:p>
    <w:p w14:paraId="709EAE18">
      <w:pPr>
        <w:jc w:val="center"/>
        <w:rPr>
          <w:rFonts w:hint="eastAsia" w:ascii="宋体" w:hAnsi="宋体"/>
          <w:b/>
          <w:sz w:val="72"/>
          <w:szCs w:val="72"/>
          <w:highlight w:val="none"/>
        </w:rPr>
      </w:pPr>
    </w:p>
    <w:p w14:paraId="1CFC90E0">
      <w:pPr>
        <w:jc w:val="center"/>
        <w:rPr>
          <w:rFonts w:hint="eastAsia" w:ascii="宋体" w:hAnsi="宋体"/>
          <w:b/>
          <w:sz w:val="72"/>
          <w:szCs w:val="72"/>
          <w:highlight w:val="none"/>
        </w:rPr>
      </w:pPr>
    </w:p>
    <w:p w14:paraId="536049A0">
      <w:pPr>
        <w:jc w:val="center"/>
        <w:rPr>
          <w:rFonts w:hint="eastAsia" w:ascii="宋体" w:hAnsi="宋体"/>
          <w:b/>
          <w:sz w:val="72"/>
          <w:szCs w:val="72"/>
          <w:highlight w:val="none"/>
        </w:rPr>
      </w:pPr>
      <w:r>
        <w:rPr>
          <w:rFonts w:hint="eastAsia" w:ascii="宋体" w:hAnsi="宋体"/>
          <w:b/>
          <w:sz w:val="72"/>
          <w:szCs w:val="72"/>
          <w:highlight w:val="none"/>
        </w:rPr>
        <w:t>供 货 合 同</w:t>
      </w:r>
    </w:p>
    <w:p w14:paraId="1470DA30">
      <w:pPr>
        <w:jc w:val="center"/>
        <w:rPr>
          <w:rFonts w:hint="eastAsia" w:ascii="宋体" w:hAnsi="宋体"/>
          <w:sz w:val="30"/>
          <w:szCs w:val="30"/>
          <w:highlight w:val="none"/>
        </w:rPr>
      </w:pPr>
      <w:r>
        <w:rPr>
          <w:rFonts w:hint="eastAsia" w:ascii="宋体" w:hAnsi="宋体"/>
          <w:sz w:val="30"/>
          <w:szCs w:val="30"/>
          <w:highlight w:val="none"/>
        </w:rPr>
        <w:t>（编号：</w:t>
      </w:r>
      <w:r>
        <w:rPr>
          <w:rFonts w:hint="eastAsia" w:ascii="宋体" w:hAnsi="宋体"/>
          <w:sz w:val="30"/>
          <w:szCs w:val="30"/>
          <w:highlight w:val="none"/>
          <w:lang w:val="en-US" w:eastAsia="zh-CN"/>
        </w:rPr>
        <w:t xml:space="preserve">        </w:t>
      </w:r>
      <w:r>
        <w:rPr>
          <w:rFonts w:hint="eastAsia" w:ascii="宋体" w:hAnsi="宋体"/>
          <w:sz w:val="30"/>
          <w:szCs w:val="30"/>
          <w:highlight w:val="none"/>
        </w:rPr>
        <w:t>）</w:t>
      </w:r>
    </w:p>
    <w:p w14:paraId="358076E5">
      <w:pPr>
        <w:jc w:val="center"/>
        <w:rPr>
          <w:rFonts w:hint="eastAsia" w:ascii="宋体" w:hAnsi="宋体" w:eastAsia="宋体"/>
          <w:sz w:val="30"/>
          <w:szCs w:val="30"/>
          <w:highlight w:val="none"/>
          <w:lang w:eastAsia="zh-CN"/>
        </w:rPr>
      </w:pPr>
      <w:r>
        <w:rPr>
          <w:rFonts w:hint="eastAsia" w:ascii="宋体" w:hAnsi="宋体"/>
          <w:sz w:val="30"/>
          <w:szCs w:val="30"/>
          <w:highlight w:val="none"/>
          <w:lang w:val="en-US" w:eastAsia="zh-CN"/>
        </w:rPr>
        <w:t xml:space="preserve"> </w:t>
      </w:r>
    </w:p>
    <w:p w14:paraId="130E640C">
      <w:pPr>
        <w:jc w:val="center"/>
        <w:rPr>
          <w:rFonts w:hint="eastAsia" w:ascii="宋体" w:hAnsi="宋体"/>
          <w:sz w:val="30"/>
          <w:szCs w:val="30"/>
          <w:highlight w:val="none"/>
        </w:rPr>
      </w:pPr>
    </w:p>
    <w:p w14:paraId="7F0E5A00">
      <w:pPr>
        <w:jc w:val="center"/>
        <w:rPr>
          <w:rFonts w:hint="eastAsia" w:ascii="宋体" w:hAnsi="宋体"/>
          <w:sz w:val="30"/>
          <w:szCs w:val="30"/>
          <w:highlight w:val="none"/>
        </w:rPr>
      </w:pPr>
    </w:p>
    <w:p w14:paraId="27194596">
      <w:pPr>
        <w:jc w:val="both"/>
        <w:rPr>
          <w:rFonts w:hint="eastAsia" w:ascii="宋体" w:hAnsi="宋体"/>
          <w:sz w:val="30"/>
          <w:szCs w:val="30"/>
          <w:highlight w:val="none"/>
        </w:rPr>
      </w:pPr>
    </w:p>
    <w:p w14:paraId="09A6BAF5">
      <w:pPr>
        <w:jc w:val="center"/>
        <w:rPr>
          <w:rFonts w:hint="eastAsia" w:ascii="宋体" w:hAnsi="宋体"/>
          <w:sz w:val="30"/>
          <w:szCs w:val="30"/>
          <w:highlight w:val="none"/>
        </w:rPr>
      </w:pPr>
    </w:p>
    <w:p w14:paraId="4D96CCFE">
      <w:pPr>
        <w:ind w:firstLine="2124" w:firstLineChars="664"/>
        <w:rPr>
          <w:rFonts w:hint="eastAsia" w:ascii="宋体" w:hAnsi="宋体"/>
          <w:sz w:val="32"/>
          <w:szCs w:val="32"/>
          <w:highlight w:val="none"/>
        </w:rPr>
      </w:pPr>
      <w:r>
        <w:rPr>
          <w:rFonts w:hint="eastAsia" w:ascii="宋体" w:hAnsi="宋体"/>
          <w:sz w:val="32"/>
          <w:szCs w:val="32"/>
          <w:highlight w:val="none"/>
        </w:rPr>
        <w:t>甲  方：XXXXXXX</w:t>
      </w:r>
    </w:p>
    <w:p w14:paraId="7621FBD4">
      <w:pPr>
        <w:tabs>
          <w:tab w:val="left" w:pos="480"/>
        </w:tabs>
        <w:ind w:firstLine="2124" w:firstLineChars="664"/>
        <w:rPr>
          <w:rFonts w:hint="eastAsia" w:ascii="宋体" w:hAnsi="宋体"/>
          <w:sz w:val="32"/>
          <w:szCs w:val="32"/>
          <w:highlight w:val="none"/>
        </w:rPr>
      </w:pPr>
      <w:r>
        <w:rPr>
          <w:rFonts w:hint="eastAsia" w:ascii="宋体" w:hAnsi="宋体"/>
          <w:sz w:val="32"/>
          <w:szCs w:val="32"/>
          <w:highlight w:val="none"/>
        </w:rPr>
        <w:t>乙  方：XXXXXXX</w:t>
      </w:r>
    </w:p>
    <w:p w14:paraId="6ED1E109">
      <w:pPr>
        <w:jc w:val="center"/>
        <w:rPr>
          <w:rFonts w:hint="eastAsia" w:ascii="宋体" w:hAnsi="宋体"/>
          <w:sz w:val="30"/>
          <w:szCs w:val="30"/>
          <w:highlight w:val="none"/>
        </w:rPr>
      </w:pPr>
    </w:p>
    <w:p w14:paraId="770E6551">
      <w:pPr>
        <w:jc w:val="center"/>
        <w:rPr>
          <w:rFonts w:hint="eastAsia" w:ascii="宋体" w:hAnsi="宋体"/>
          <w:sz w:val="32"/>
          <w:szCs w:val="32"/>
          <w:highlight w:val="none"/>
        </w:rPr>
      </w:pPr>
      <w:r>
        <w:rPr>
          <w:rFonts w:hint="eastAsia" w:ascii="宋体" w:hAnsi="宋体"/>
          <w:sz w:val="32"/>
          <w:szCs w:val="32"/>
          <w:highlight w:val="none"/>
        </w:rPr>
        <w:t>202X年XX月</w:t>
      </w:r>
    </w:p>
    <w:p w14:paraId="5D427B21">
      <w:pPr>
        <w:jc w:val="center"/>
        <w:rPr>
          <w:rFonts w:hint="eastAsia" w:ascii="宋体" w:hAnsi="宋体"/>
          <w:b/>
          <w:sz w:val="36"/>
          <w:szCs w:val="36"/>
          <w:highlight w:val="none"/>
        </w:rPr>
      </w:pPr>
      <w:r>
        <w:rPr>
          <w:rFonts w:hint="eastAsia" w:ascii="宋体" w:hAnsi="宋体"/>
          <w:sz w:val="32"/>
          <w:szCs w:val="32"/>
          <w:highlight w:val="none"/>
        </w:rPr>
        <w:t>中国  西安</w:t>
      </w:r>
    </w:p>
    <w:p w14:paraId="4EB5563B">
      <w:pPr>
        <w:keepNext w:val="0"/>
        <w:keepLines w:val="0"/>
        <w:pageBreakBefore w:val="0"/>
        <w:widowControl w:val="0"/>
        <w:kinsoku/>
        <w:wordWrap/>
        <w:overflowPunct/>
        <w:topLinePunct w:val="0"/>
        <w:autoSpaceDE/>
        <w:autoSpaceDN/>
        <w:bidi w:val="0"/>
        <w:adjustRightInd/>
        <w:snapToGrid/>
        <w:spacing w:before="0" w:beforeLines="100" w:line="384" w:lineRule="auto"/>
        <w:textAlignment w:val="auto"/>
        <w:rPr>
          <w:rFonts w:hint="eastAsia" w:ascii="宋体" w:hAnsi="宋体" w:eastAsia="宋体" w:cs="宋体"/>
          <w:sz w:val="24"/>
          <w:szCs w:val="24"/>
          <w:highlight w:val="none"/>
        </w:rPr>
      </w:pPr>
      <w:r>
        <w:rPr>
          <w:rFonts w:ascii="宋体" w:hAnsi="宋体"/>
          <w:color w:val="000000"/>
          <w:spacing w:val="-20"/>
          <w:kern w:val="0"/>
          <w:sz w:val="28"/>
          <w:szCs w:val="20"/>
          <w:highlight w:val="none"/>
        </w:rPr>
        <w:br w:type="page"/>
      </w:r>
      <w:r>
        <w:rPr>
          <w:rFonts w:hint="eastAsia" w:ascii="宋体" w:hAnsi="宋体" w:eastAsia="宋体" w:cs="宋体"/>
          <w:sz w:val="24"/>
          <w:szCs w:val="24"/>
          <w:highlight w:val="none"/>
        </w:rPr>
        <w:t>合同编号：</w:t>
      </w:r>
    </w:p>
    <w:p w14:paraId="2DF48404">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p>
    <w:p w14:paraId="77B063E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p w14:paraId="12A380C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 (甲方)：</w:t>
      </w:r>
    </w:p>
    <w:p w14:paraId="7FB375BE">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 (乙方)：</w:t>
      </w:r>
    </w:p>
    <w:p w14:paraId="01E3777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w:t>
      </w:r>
    </w:p>
    <w:p w14:paraId="792E695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和甲方采购项目 (项目编号：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的</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rPr>
        <w:t>文件、响应文件等有关规定，</w:t>
      </w:r>
    </w:p>
    <w:p w14:paraId="7772C98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为确保甲方采购项目的顺利实施，甲、乙双方在平等自愿原则下签订本合同，并共同遵守如下条款：</w:t>
      </w:r>
    </w:p>
    <w:p w14:paraId="4CBA763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合同标的及数量</w:t>
      </w:r>
    </w:p>
    <w:p w14:paraId="039C3200">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 (产品)：</w:t>
      </w:r>
    </w:p>
    <w:p w14:paraId="067464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6"/>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6E9E3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40B48A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105B61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28" w:type="dxa"/>
            <w:noWrap w:val="0"/>
            <w:vAlign w:val="center"/>
          </w:tcPr>
          <w:p w14:paraId="41E7073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29525C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59" w:type="dxa"/>
            <w:noWrap w:val="0"/>
            <w:vAlign w:val="center"/>
          </w:tcPr>
          <w:p w14:paraId="75F9E5B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w:t>
            </w:r>
          </w:p>
          <w:p w14:paraId="1524C24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代码</w:t>
            </w:r>
          </w:p>
        </w:tc>
        <w:tc>
          <w:tcPr>
            <w:tcW w:w="1477" w:type="dxa"/>
            <w:noWrap w:val="0"/>
            <w:vAlign w:val="center"/>
          </w:tcPr>
          <w:p w14:paraId="19E51F3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7E7396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1" w:type="dxa"/>
            <w:noWrap w:val="0"/>
            <w:textDirection w:val="tbRlV"/>
            <w:vAlign w:val="center"/>
          </w:tcPr>
          <w:p w14:paraId="3C469D9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 格</w:t>
            </w:r>
          </w:p>
        </w:tc>
        <w:tc>
          <w:tcPr>
            <w:tcW w:w="713" w:type="dxa"/>
            <w:noWrap w:val="0"/>
            <w:vAlign w:val="center"/>
          </w:tcPr>
          <w:p w14:paraId="610DBD9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w:t>
            </w:r>
          </w:p>
          <w:p w14:paraId="5D5CA36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27" w:type="dxa"/>
            <w:noWrap w:val="0"/>
            <w:vAlign w:val="center"/>
          </w:tcPr>
          <w:p w14:paraId="29979DC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672D98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058" w:type="dxa"/>
            <w:noWrap w:val="0"/>
            <w:vAlign w:val="center"/>
          </w:tcPr>
          <w:p w14:paraId="2612D5A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58D4F4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c>
          <w:tcPr>
            <w:tcW w:w="1472" w:type="dxa"/>
            <w:tcBorders>
              <w:right w:val="single" w:color="000000" w:sz="10" w:space="0"/>
            </w:tcBorders>
            <w:noWrap w:val="0"/>
            <w:vAlign w:val="center"/>
          </w:tcPr>
          <w:p w14:paraId="374CBCE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42FF999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 (元)</w:t>
            </w:r>
          </w:p>
        </w:tc>
      </w:tr>
      <w:tr w14:paraId="75059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7B34BC4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7D9DD4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20DF40A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BD2752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73A8BD3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FB0791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36FBBB6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0230F8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71ECB25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5428B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44D92F1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2517721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0E7706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7C882A6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4382E55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1E26F71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7B3E95F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6947191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6D6E7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4D992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1E3C5AB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115FFE0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1207370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21E9EF7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2BA94F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B84D48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2ACAD9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77921A0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627B276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500F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5C8F26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6CB195D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7F839FD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A044B0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307AEF2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7BBC1DD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46F456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59649E3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41ADD8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C03F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44" w:type="dxa"/>
            <w:tcBorders>
              <w:left w:val="single" w:color="000000" w:sz="10" w:space="0"/>
            </w:tcBorders>
            <w:noWrap w:val="0"/>
            <w:vAlign w:val="center"/>
          </w:tcPr>
          <w:p w14:paraId="75D17F5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2087" w:type="dxa"/>
            <w:gridSpan w:val="2"/>
            <w:noWrap w:val="0"/>
            <w:vAlign w:val="center"/>
          </w:tcPr>
          <w:p w14:paraId="7E4CEC5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3448" w:type="dxa"/>
            <w:gridSpan w:val="4"/>
            <w:noWrap w:val="0"/>
            <w:vAlign w:val="center"/>
          </w:tcPr>
          <w:p w14:paraId="66CA49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p>
        </w:tc>
        <w:tc>
          <w:tcPr>
            <w:tcW w:w="2530" w:type="dxa"/>
            <w:gridSpan w:val="2"/>
            <w:tcBorders>
              <w:right w:val="single" w:color="000000" w:sz="10" w:space="0"/>
            </w:tcBorders>
            <w:noWrap w:val="0"/>
            <w:vAlign w:val="center"/>
          </w:tcPr>
          <w:p w14:paraId="03458CB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bl>
    <w:p w14:paraId="294253CE">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二</w:t>
      </w:r>
      <w:r>
        <w:rPr>
          <w:rFonts w:hint="eastAsia" w:ascii="宋体" w:hAnsi="宋体"/>
          <w:b/>
          <w:color w:val="000000"/>
          <w:kern w:val="0"/>
          <w:sz w:val="24"/>
          <w:lang w:val="en-US" w:eastAsia="zh-CN"/>
        </w:rPr>
        <w:t>条</w:t>
      </w:r>
      <w:r>
        <w:rPr>
          <w:rFonts w:hint="eastAsia" w:ascii="宋体" w:hAnsi="宋体"/>
          <w:b/>
          <w:color w:val="000000"/>
          <w:kern w:val="0"/>
          <w:sz w:val="24"/>
        </w:rPr>
        <w:t>、交货条件：</w:t>
      </w:r>
    </w:p>
    <w:p w14:paraId="15EC4060">
      <w:pPr>
        <w:ind w:firstLine="480" w:firstLineChars="200"/>
        <w:rPr>
          <w:rFonts w:hint="eastAsia" w:ascii="宋体" w:hAnsi="宋体"/>
          <w:sz w:val="24"/>
        </w:rPr>
      </w:pPr>
      <w:r>
        <w:rPr>
          <w:rFonts w:hint="eastAsia" w:ascii="宋体" w:hAnsi="宋体"/>
          <w:sz w:val="24"/>
        </w:rPr>
        <w:t>（一）交货地点：甲方指定地点。</w:t>
      </w:r>
    </w:p>
    <w:p w14:paraId="31BE46D6">
      <w:pPr>
        <w:ind w:firstLine="480" w:firstLineChars="200"/>
        <w:rPr>
          <w:rFonts w:hint="eastAsia" w:ascii="宋体" w:hAnsi="宋体" w:eastAsia="宋体" w:cs="宋体"/>
          <w:b/>
          <w:bCs/>
          <w:sz w:val="24"/>
          <w:szCs w:val="24"/>
          <w:highlight w:val="none"/>
        </w:rPr>
      </w:pPr>
      <w:r>
        <w:rPr>
          <w:rFonts w:hint="eastAsia" w:ascii="宋体" w:hAnsi="宋体"/>
          <w:sz w:val="24"/>
        </w:rPr>
        <w:t>（二）交货期：自合同签订之日起___个日历日/工作日内完成全部项目内容，并交付甲方验收合格。</w:t>
      </w:r>
    </w:p>
    <w:p w14:paraId="64DB3030">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三</w:t>
      </w:r>
      <w:r>
        <w:rPr>
          <w:rFonts w:hint="eastAsia" w:ascii="宋体" w:hAnsi="宋体"/>
          <w:b/>
          <w:color w:val="000000"/>
          <w:kern w:val="0"/>
          <w:sz w:val="24"/>
          <w:lang w:val="en-US" w:eastAsia="zh-CN"/>
        </w:rPr>
        <w:t>条</w:t>
      </w:r>
      <w:r>
        <w:rPr>
          <w:rFonts w:hint="eastAsia" w:ascii="宋体" w:hAnsi="宋体"/>
          <w:b/>
          <w:color w:val="000000"/>
          <w:kern w:val="0"/>
          <w:sz w:val="24"/>
        </w:rPr>
        <w:t>、合同价款</w:t>
      </w:r>
    </w:p>
    <w:p w14:paraId="68E34D2C">
      <w:pPr>
        <w:ind w:firstLine="480" w:firstLineChars="200"/>
        <w:rPr>
          <w:rFonts w:hint="eastAsia" w:ascii="宋体" w:hAnsi="宋体"/>
          <w:sz w:val="24"/>
        </w:rPr>
      </w:pPr>
      <w:r>
        <w:rPr>
          <w:rFonts w:hint="eastAsia" w:ascii="宋体" w:hAnsi="宋体"/>
          <w:sz w:val="24"/>
        </w:rPr>
        <w:t>（一）合同总价款为人民币（大写）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5F5910D9">
      <w:pPr>
        <w:ind w:firstLine="480" w:firstLineChars="200"/>
        <w:rPr>
          <w:rFonts w:hint="eastAsia" w:ascii="宋体" w:hAnsi="宋体"/>
          <w:sz w:val="24"/>
        </w:rPr>
      </w:pPr>
      <w:r>
        <w:rPr>
          <w:rFonts w:hint="eastAsia" w:ascii="宋体" w:hAnsi="宋体"/>
          <w:sz w:val="24"/>
        </w:rPr>
        <w:t>（二）合同总价包括：×××费、×××费、×××费和其他费用。</w:t>
      </w:r>
    </w:p>
    <w:p w14:paraId="7F989E84">
      <w:pPr>
        <w:ind w:firstLine="480" w:firstLineChars="200"/>
        <w:rPr>
          <w:rFonts w:hint="eastAsia" w:ascii="宋体" w:hAnsi="宋体"/>
          <w:sz w:val="24"/>
        </w:rPr>
      </w:pPr>
      <w:r>
        <w:rPr>
          <w:rFonts w:hint="eastAsia" w:ascii="宋体" w:hAnsi="宋体"/>
          <w:sz w:val="24"/>
        </w:rPr>
        <w:t>（三）合同总价一次性包死，不受市场价格变化因素的影响。</w:t>
      </w:r>
    </w:p>
    <w:p w14:paraId="6DE00552">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四</w:t>
      </w:r>
      <w:r>
        <w:rPr>
          <w:rFonts w:hint="eastAsia" w:ascii="宋体" w:hAnsi="宋体"/>
          <w:b/>
          <w:color w:val="000000"/>
          <w:kern w:val="0"/>
          <w:sz w:val="24"/>
          <w:lang w:val="en-US" w:eastAsia="zh-CN"/>
        </w:rPr>
        <w:t>条</w:t>
      </w:r>
      <w:r>
        <w:rPr>
          <w:rFonts w:hint="eastAsia" w:ascii="宋体" w:hAnsi="宋体"/>
          <w:b/>
          <w:color w:val="000000"/>
          <w:kern w:val="0"/>
          <w:sz w:val="24"/>
        </w:rPr>
        <w:t>、款项结算</w:t>
      </w:r>
    </w:p>
    <w:p w14:paraId="7DEAD267">
      <w:pPr>
        <w:ind w:firstLine="480" w:firstLineChars="200"/>
        <w:rPr>
          <w:rFonts w:hint="eastAsia" w:ascii="宋体" w:hAnsi="宋体"/>
          <w:color w:val="000000"/>
          <w:kern w:val="0"/>
          <w:sz w:val="24"/>
          <w:lang w:val="en-US" w:eastAsia="zh-CN"/>
        </w:rPr>
      </w:pPr>
      <w:r>
        <w:rPr>
          <w:rFonts w:hint="eastAsia" w:ascii="宋体" w:hAnsi="宋体"/>
          <w:color w:val="000000"/>
          <w:kern w:val="0"/>
          <w:sz w:val="24"/>
        </w:rPr>
        <w:t>（一）设备安装调试验收合格后</w:t>
      </w:r>
      <w:r>
        <w:rPr>
          <w:rFonts w:hint="eastAsia" w:ascii="宋体" w:hAnsi="宋体"/>
          <w:color w:val="000000"/>
          <w:kern w:val="0"/>
          <w:sz w:val="24"/>
          <w:lang w:eastAsia="zh-CN"/>
        </w:rPr>
        <w:t>，</w:t>
      </w:r>
      <w:r>
        <w:rPr>
          <w:rFonts w:hint="eastAsia" w:ascii="宋体" w:hAnsi="宋体"/>
          <w:color w:val="000000"/>
          <w:kern w:val="0"/>
          <w:sz w:val="24"/>
          <w:lang w:val="en-US" w:eastAsia="zh-CN"/>
        </w:rPr>
        <w:t>供应商提供全额增值税发票</w:t>
      </w:r>
      <w:r>
        <w:rPr>
          <w:rFonts w:hint="eastAsia" w:ascii="宋体" w:hAnsi="宋体"/>
          <w:color w:val="000000"/>
          <w:kern w:val="0"/>
          <w:sz w:val="24"/>
        </w:rPr>
        <w:t xml:space="preserve">，达到付款条件起 </w:t>
      </w:r>
      <w:r>
        <w:rPr>
          <w:rFonts w:hint="eastAsia" w:ascii="宋体" w:hAnsi="宋体"/>
          <w:color w:val="000000"/>
          <w:kern w:val="0"/>
          <w:sz w:val="24"/>
          <w:lang w:val="en-US" w:eastAsia="zh-CN"/>
        </w:rPr>
        <w:t>15</w:t>
      </w:r>
      <w:r>
        <w:rPr>
          <w:rFonts w:hint="eastAsia" w:ascii="宋体" w:hAnsi="宋体"/>
          <w:color w:val="000000"/>
          <w:kern w:val="0"/>
          <w:sz w:val="24"/>
        </w:rPr>
        <w:t xml:space="preserve"> 日内，支付合同总金额的 </w:t>
      </w:r>
      <w:r>
        <w:rPr>
          <w:rFonts w:hint="eastAsia" w:ascii="宋体" w:hAnsi="宋体"/>
          <w:color w:val="000000"/>
          <w:kern w:val="0"/>
          <w:sz w:val="24"/>
          <w:lang w:val="en-US" w:eastAsia="zh-CN"/>
        </w:rPr>
        <w:t>10</w:t>
      </w:r>
      <w:r>
        <w:rPr>
          <w:rFonts w:hint="eastAsia" w:ascii="宋体" w:hAnsi="宋体"/>
          <w:color w:val="000000"/>
          <w:kern w:val="0"/>
          <w:sz w:val="24"/>
        </w:rPr>
        <w:t>0.00%。</w:t>
      </w:r>
    </w:p>
    <w:p w14:paraId="6E49F01A">
      <w:pPr>
        <w:ind w:firstLine="480" w:firstLineChars="200"/>
        <w:rPr>
          <w:rFonts w:hint="eastAsia" w:ascii="宋体" w:hAnsi="宋体"/>
          <w:sz w:val="24"/>
        </w:rPr>
      </w:pPr>
      <w:r>
        <w:rPr>
          <w:rFonts w:hint="eastAsia" w:ascii="宋体" w:hAnsi="宋体"/>
          <w:color w:val="000000"/>
          <w:kern w:val="0"/>
          <w:sz w:val="24"/>
        </w:rPr>
        <w:t>（二）</w:t>
      </w:r>
      <w:r>
        <w:rPr>
          <w:rFonts w:hint="eastAsia" w:ascii="宋体" w:hAnsi="宋体"/>
          <w:sz w:val="24"/>
        </w:rPr>
        <w:t>支付方式：银行转账。</w:t>
      </w:r>
    </w:p>
    <w:p w14:paraId="221D3D6E">
      <w:pPr>
        <w:ind w:firstLine="480" w:firstLineChars="200"/>
        <w:rPr>
          <w:rFonts w:hint="eastAsia" w:ascii="宋体" w:hAnsi="宋体"/>
          <w:color w:val="000000"/>
          <w:kern w:val="0"/>
          <w:sz w:val="24"/>
        </w:rPr>
      </w:pPr>
      <w:r>
        <w:rPr>
          <w:rFonts w:hint="eastAsia" w:ascii="宋体" w:hAnsi="宋体"/>
          <w:color w:val="000000"/>
          <w:kern w:val="0"/>
          <w:sz w:val="24"/>
        </w:rPr>
        <w:t>（三）</w:t>
      </w:r>
      <w:r>
        <w:rPr>
          <w:rFonts w:hint="eastAsia" w:ascii="宋体" w:hAnsi="宋体"/>
          <w:sz w:val="24"/>
        </w:rPr>
        <w:t>结算方式：每次付款前乙方向甲方提供合法有效的</w:t>
      </w:r>
      <w:r>
        <w:rPr>
          <w:rFonts w:hint="eastAsia" w:ascii="宋体" w:hAnsi="宋体"/>
          <w:color w:val="000000"/>
          <w:kern w:val="0"/>
          <w:sz w:val="24"/>
          <w:lang w:val="en-US" w:eastAsia="zh-CN"/>
        </w:rPr>
        <w:t>全额增值税</w:t>
      </w:r>
      <w:r>
        <w:rPr>
          <w:rFonts w:hint="eastAsia" w:ascii="宋体" w:hAnsi="宋体"/>
          <w:sz w:val="24"/>
        </w:rPr>
        <w:t>发票。乙方持成交通知书、服务合同、发票，与甲方结算。</w:t>
      </w:r>
    </w:p>
    <w:p w14:paraId="20A6FC6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权利保证</w:t>
      </w:r>
    </w:p>
    <w:p w14:paraId="6E4F3B7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6CC0B7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2、乙方保证对其出售的货物上不存在任何未曾向甲方透露的担保物权，如抵 押权、质押权、留置权。</w:t>
      </w:r>
    </w:p>
    <w:p w14:paraId="6BA3231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 商标权或其他权利。</w:t>
      </w:r>
    </w:p>
    <w:p w14:paraId="4069B93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6AE70E52">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第六条</w:t>
      </w:r>
      <w:r>
        <w:rPr>
          <w:rFonts w:hint="eastAsia" w:ascii="宋体" w:hAnsi="宋体" w:cs="宋体"/>
          <w:b/>
          <w:bCs/>
          <w:color w:val="auto"/>
          <w:sz w:val="24"/>
          <w:szCs w:val="24"/>
          <w:highlight w:val="none"/>
        </w:rPr>
        <w:t>、合同当事人的权利和义务</w:t>
      </w:r>
    </w:p>
    <w:p w14:paraId="1C5F0ED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本合同下交付的产品必须等同或优于本项目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文件《采购内容及技术要求》所述的标准。若乙方在其</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响应文件中承诺的技术标准优于本项目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文件《采购内容及技术要求》所述标准的，按</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响应文件的承诺执行。</w:t>
      </w:r>
    </w:p>
    <w:p w14:paraId="79534B5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甲方有权通知乙方在其指定地点对货物进行检验、测试，以确认货物是否符合合同约定的质量标准，检验测试的相关费用由乙方承担。</w:t>
      </w:r>
    </w:p>
    <w:p w14:paraId="111EE989">
      <w:pPr>
        <w:keepNext w:val="0"/>
        <w:keepLines w:val="0"/>
        <w:pageBreakBefore w:val="0"/>
        <w:widowControl w:val="0"/>
        <w:kinsoku/>
        <w:wordWrap/>
        <w:overflowPunct/>
        <w:topLinePunct w:val="0"/>
        <w:autoSpaceDE/>
        <w:autoSpaceDN/>
        <w:bidi w:val="0"/>
        <w:adjustRightInd/>
        <w:snapToGrid/>
        <w:spacing w:line="384" w:lineRule="auto"/>
        <w:ind w:firstLine="240" w:firstLineChars="100"/>
        <w:textAlignment w:val="auto"/>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检验和测试在甲方指定的交货地点进行。</w:t>
      </w:r>
    </w:p>
    <w:p w14:paraId="6A8656C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如果任何被检验或测试的货物不能满足</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文件及合同的要求，甲方可以拒绝接受该货物，乙方应更换被拒绝的货物，或者免费进行必要的修改以满足规格的要求。</w:t>
      </w:r>
    </w:p>
    <w:p w14:paraId="499B6D6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在交货前，乙方应让生产商对货物的质量、规格、数量和重</w:t>
      </w:r>
      <w:bookmarkStart w:id="0" w:name="_GoBack"/>
      <w:bookmarkEnd w:id="0"/>
      <w:r>
        <w:rPr>
          <w:rFonts w:hint="eastAsia" w:ascii="宋体" w:hAnsi="宋体" w:cs="宋体"/>
          <w:color w:val="auto"/>
          <w:sz w:val="24"/>
          <w:szCs w:val="24"/>
          <w:highlight w:val="none"/>
        </w:rPr>
        <w:t>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934DD7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如果在货物使用寿命期内，根据检验结果，发现货物的质量或规格与合同要求不符，或被证实有缺陷，包含潜在的缺陷或使用不合适的材料，甲方应向乙方提出索赔。</w:t>
      </w:r>
    </w:p>
    <w:p w14:paraId="6969E84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乙方负责货物到达交货地点前的所有包装、运输、装卸及保险事项，相关费用应包括在合同总价中。</w:t>
      </w:r>
    </w:p>
    <w:p w14:paraId="65C77D42">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38C06DD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9</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货物的运输方式由乙方自行选择，但包装必须满足货物运输和装卸的要求，保证甲方收到的是无任何损伤的货物。否则，因此造成的损失由乙方自行承担。</w:t>
      </w:r>
    </w:p>
    <w:p w14:paraId="756CB25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10</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乙方应提供本项目</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文件“商务条款”和“技术规格与要求”中规定的所有服务。为履行要求的伴随服务的报价或双方商定的费用应包括在合同价中。</w:t>
      </w:r>
    </w:p>
    <w:p w14:paraId="393DC5F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如果乙方或生产厂提供的伴随服务的费用未含在货物的合同价中，双方应事先就其达成协议，但其费用单价不应超过乙方向其他人提供类似服务所收取的现行单价。</w:t>
      </w:r>
    </w:p>
    <w:p w14:paraId="709D75C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4D81E6F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5FC2C456">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文件规定的时间内以合理的速度免费维修或更换有缺陷的货物。</w:t>
      </w:r>
    </w:p>
    <w:p w14:paraId="21671E7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w:t>
      </w:r>
      <w:r>
        <w:rPr>
          <w:rFonts w:hint="eastAsia" w:ascii="宋体" w:hAnsi="宋体" w:cs="宋体"/>
          <w:color w:val="auto"/>
          <w:sz w:val="24"/>
          <w:szCs w:val="24"/>
          <w:highlight w:val="none"/>
          <w:lang w:eastAsia="zh-CN"/>
        </w:rPr>
        <w:t>竞争性磋商</w:t>
      </w:r>
      <w:r>
        <w:rPr>
          <w:rFonts w:hint="eastAsia" w:ascii="宋体" w:hAnsi="宋体" w:cs="宋体"/>
          <w:color w:val="auto"/>
          <w:sz w:val="24"/>
          <w:szCs w:val="24"/>
          <w:highlight w:val="none"/>
        </w:rPr>
        <w:t>文件规定的时间内没有及时修补缺陷，甲方可提出索赔，并可采取必要的补救措施，但其风险和费用将由乙方承担，甲方根据合同规定对乙方行使的其他权力不受影响。</w:t>
      </w:r>
    </w:p>
    <w:p w14:paraId="43C3AA9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如果乙方对偏差负有责任，而甲方在验收和质量保证期内提出了索赔，乙方应按照甲方同意的下列一种或几种方式结合起来解决索赔事宜：</w:t>
      </w:r>
    </w:p>
    <w:p w14:paraId="7DC4998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）乙方同意退货并用合同规定的货币将货款退还给甲方，并承担由此发生的一切损失和费用，包括利息、银行手续费、运费、保险费、检验费、仓储费、装卸费以及为看管和保护退回货物所需的其它必要费用。</w:t>
      </w:r>
    </w:p>
    <w:p w14:paraId="683AE20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）根据货物的偏差情况、损坏程度、以及甲方所遭受损失的金额，经甲乙双方商定降低货物的价格。</w:t>
      </w:r>
    </w:p>
    <w:p w14:paraId="524B5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）用符合合同规定的规格、质量和性能要求的货物来更换有缺陷的部分和</w:t>
      </w:r>
      <w:r>
        <w:rPr>
          <w:rFonts w:ascii="宋体" w:hAnsi="宋体" w:cs="宋体"/>
          <w:color w:val="auto"/>
          <w:sz w:val="24"/>
          <w:szCs w:val="24"/>
          <w:highlight w:val="none"/>
        </w:rPr>
        <w:t>/</w:t>
      </w:r>
      <w:r>
        <w:rPr>
          <w:rFonts w:hint="eastAsia" w:ascii="宋体" w:hAnsi="宋体" w:cs="宋体"/>
          <w:color w:val="auto"/>
          <w:sz w:val="24"/>
          <w:szCs w:val="24"/>
          <w:highlight w:val="none"/>
        </w:rPr>
        <w:t>或修补缺陷部分，乙方应承担一切费用和风险并负担甲方蒙受的全部直接损失费用。</w:t>
      </w:r>
    </w:p>
    <w:p w14:paraId="5D024D7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）天内，乙方未作答复，上述索赔应视为已被乙方接受。如乙方未能在甲方发出索赔通知后三十（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或甲方同意的延长期限内，按照甲方同意的上述规定的任何一种方法解决索赔事宜，甲方将从未付货款或从乙方交纳的履约保函中扣回索赔金额。若索赔金额超过未付货款或履约保函的，乙方必须用已收货款进行弥补。</w:t>
      </w:r>
    </w:p>
    <w:p w14:paraId="384A95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58775AA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第七条</w:t>
      </w:r>
      <w:r>
        <w:rPr>
          <w:rFonts w:hint="eastAsia" w:ascii="宋体" w:hAnsi="宋体" w:cs="宋体"/>
          <w:b/>
          <w:bCs/>
          <w:color w:val="auto"/>
          <w:sz w:val="24"/>
          <w:szCs w:val="24"/>
          <w:highlight w:val="none"/>
        </w:rPr>
        <w:t>、售后服务</w:t>
      </w:r>
    </w:p>
    <w:p w14:paraId="79CD171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1.合同后</w:t>
      </w:r>
      <w:r>
        <w:rPr>
          <w:rFonts w:hint="eastAsia" w:ascii="宋体" w:hAnsi="宋体" w:eastAsia="宋体" w:cs="宋体"/>
          <w:color w:val="auto"/>
          <w:sz w:val="24"/>
          <w:szCs w:val="24"/>
          <w:highlight w:val="none"/>
        </w:rPr>
        <w:t>附成交人售后服务承诺</w:t>
      </w:r>
    </w:p>
    <w:p w14:paraId="724CD1E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同一主要部件出现质量问题经过两次维修后仍无法正常使用，可以更换同型号、同规格的产品；</w:t>
      </w:r>
    </w:p>
    <w:p w14:paraId="531D516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30天内，如出现质量问题，可以选择换货或退货；</w:t>
      </w:r>
    </w:p>
    <w:p w14:paraId="5DE87CC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30天至60天内，如出现质量问题，可选择换货。</w:t>
      </w:r>
    </w:p>
    <w:p w14:paraId="2018390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发生质量问题，接到采购人通知后：</w:t>
      </w:r>
    </w:p>
    <w:p w14:paraId="1B28CE2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（1）服务响应时间不超过2小时，明确解决问题方案不超过2小时；</w:t>
      </w:r>
    </w:p>
    <w:p w14:paraId="10DD3EA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（2）应于当日2小时内派出专业的维修人员到现场进行检测维修，发生的全部费用由成交供应商承担，若需送回生产厂家，成交供应商承担往返费用；</w:t>
      </w:r>
    </w:p>
    <w:p w14:paraId="006A75D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（3）排除故障的期限不得超过2个工作日，否则采购人有权指定第三方维修，维修费用由成交供应商承担。</w:t>
      </w:r>
    </w:p>
    <w:p w14:paraId="429C2D40">
      <w:pPr>
        <w:keepNext w:val="0"/>
        <w:keepLines w:val="0"/>
        <w:pageBreakBefore w:val="0"/>
        <w:widowControl w:val="0"/>
        <w:kinsoku/>
        <w:wordWrap/>
        <w:overflowPunct/>
        <w:topLinePunct w:val="0"/>
        <w:autoSpaceDE/>
        <w:autoSpaceDN/>
        <w:bidi w:val="0"/>
        <w:adjustRightInd/>
        <w:snapToGrid/>
        <w:spacing w:line="384" w:lineRule="auto"/>
        <w:textAlignment w:val="auto"/>
        <w:rPr>
          <w:rFonts w:ascii="宋体" w:cs="宋体"/>
          <w:b/>
          <w:bCs/>
          <w:color w:val="auto"/>
          <w:sz w:val="24"/>
          <w:szCs w:val="24"/>
          <w:highlight w:val="none"/>
        </w:rPr>
      </w:pPr>
      <w:r>
        <w:rPr>
          <w:rFonts w:hint="eastAsia" w:ascii="宋体" w:hAnsi="宋体" w:cs="宋体"/>
          <w:b/>
          <w:bCs/>
          <w:color w:val="auto"/>
          <w:sz w:val="24"/>
          <w:szCs w:val="24"/>
          <w:highlight w:val="none"/>
          <w:lang w:eastAsia="zh-CN"/>
        </w:rPr>
        <w:t>第八条</w:t>
      </w:r>
      <w:r>
        <w:rPr>
          <w:rFonts w:hint="eastAsia" w:ascii="宋体" w:hAnsi="宋体" w:cs="宋体"/>
          <w:b/>
          <w:bCs/>
          <w:color w:val="auto"/>
          <w:sz w:val="24"/>
          <w:szCs w:val="24"/>
          <w:highlight w:val="none"/>
        </w:rPr>
        <w:t>、质量保证</w:t>
      </w:r>
    </w:p>
    <w:p w14:paraId="68382F3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质量保证</w:t>
      </w:r>
      <w:r>
        <w:rPr>
          <w:rFonts w:hint="eastAsia" w:ascii="宋体" w:hAnsi="宋体" w:eastAsia="宋体" w:cs="宋体"/>
          <w:color w:val="auto"/>
          <w:sz w:val="24"/>
          <w:szCs w:val="24"/>
          <w:highlight w:val="none"/>
        </w:rPr>
        <w:t>期为终验合格之日起</w:t>
      </w:r>
      <w:r>
        <w:rPr>
          <w:rFonts w:hint="eastAsia" w:ascii="宋体" w:hAnsi="宋体" w:eastAsia="宋体" w:cs="宋体"/>
          <w:color w:val="auto"/>
          <w:sz w:val="24"/>
          <w:szCs w:val="24"/>
          <w:highlight w:val="none"/>
          <w:u w:val="single"/>
        </w:rPr>
        <w:t xml:space="preserve"> 12 </w:t>
      </w:r>
      <w:r>
        <w:rPr>
          <w:rFonts w:hint="eastAsia" w:ascii="宋体" w:hAnsi="宋体" w:eastAsia="宋体" w:cs="宋体"/>
          <w:color w:val="auto"/>
          <w:sz w:val="24"/>
          <w:szCs w:val="24"/>
          <w:highlight w:val="none"/>
        </w:rPr>
        <w:t>个月。</w:t>
      </w:r>
    </w:p>
    <w:p w14:paraId="41FBE9F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产品。乙方应保证其货物在正常使用和保养条件下，在其使用寿命期内应具有满意的性能。在货物的质量保证期内，乙方对由于设计、工艺或材料的缺陷而产生的故障负责。</w:t>
      </w:r>
    </w:p>
    <w:p w14:paraId="244DBBF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29B41CD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乙方收到通知后应在谈判文件规定的时间内以合理的速度免费维修或更换有缺陷的货物或部件。</w:t>
      </w:r>
    </w:p>
    <w:p w14:paraId="12C2A4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如果乙方收到通知后在谈判文件规定的时间内没有及时修补缺陷，甲方可提出索赔，并可采取必要的补救措施，但其风险和费用将由乙方承担，甲方根据合同规定对乙方行使的其他权力不受影响。</w:t>
      </w:r>
    </w:p>
    <w:p w14:paraId="657223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rPr>
        <w:t>、违约责任及赔偿损失的计算办法</w:t>
      </w:r>
    </w:p>
    <w:p w14:paraId="7E20193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如乙方事先未征得甲方书面同意而单方面延迟完成项目的，每逾期一日按照合同总价款的万分之五承担违约责任；乙方逾期累计</w:t>
      </w:r>
      <w:r>
        <w:rPr>
          <w:rFonts w:ascii="宋体" w:hAnsi="宋体"/>
          <w:color w:val="auto"/>
          <w:sz w:val="24"/>
          <w:szCs w:val="24"/>
          <w:highlight w:val="none"/>
        </w:rPr>
        <w:t>15</w:t>
      </w:r>
      <w:r>
        <w:rPr>
          <w:rFonts w:hint="eastAsia" w:ascii="宋体" w:hAnsi="宋体"/>
          <w:color w:val="auto"/>
          <w:sz w:val="24"/>
          <w:szCs w:val="24"/>
          <w:highlight w:val="none"/>
        </w:rPr>
        <w:t>天以上的，甲方有权解除合同</w:t>
      </w:r>
      <w:r>
        <w:rPr>
          <w:rFonts w:ascii="宋体"/>
          <w:color w:val="auto"/>
          <w:sz w:val="24"/>
          <w:szCs w:val="24"/>
          <w:highlight w:val="none"/>
        </w:rPr>
        <w:t>,</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5464FA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乙方所供主要硬件或软件不符合</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文件规定或不合格的或本项目不能通过验收的，甲方有权解除合同，同时甲方有权扣除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，并要求其承担合同总价款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5EBDD09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部分产品不合格的，甲方有权要求乙方在指定期间内免费更换，乙方拒不更换的，甲方有权自行或委托第三方购买设备，但产品供应费、运输费等全部费用由乙方承担。上述费用从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中扣除，不足部分由乙方承担。同时乙方应在三日内补足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w:t>
      </w:r>
    </w:p>
    <w:p w14:paraId="3D99F72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．质保期内乙方未按照</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文件、</w:t>
      </w:r>
      <w:r>
        <w:rPr>
          <w:rFonts w:hint="eastAsia" w:ascii="宋体" w:hAnsi="宋体"/>
          <w:color w:val="auto"/>
          <w:sz w:val="24"/>
          <w:szCs w:val="24"/>
          <w:highlight w:val="none"/>
          <w:lang w:eastAsia="zh-CN"/>
        </w:rPr>
        <w:t>竞争性磋商</w:t>
      </w:r>
      <w:r>
        <w:rPr>
          <w:rFonts w:hint="eastAsia" w:ascii="宋体" w:hAnsi="宋体"/>
          <w:color w:val="auto"/>
          <w:sz w:val="24"/>
          <w:szCs w:val="24"/>
          <w:highlight w:val="none"/>
        </w:rPr>
        <w:t>响应文件规定及合同约定提供维保服务的，甲方有权指定第三方提供维保服务，但第三方维修费、交通费、人工费等全部费用由乙方承担。上述相关费用从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不足的，乙方应在三日内补足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w:t>
      </w:r>
    </w:p>
    <w:p w14:paraId="1913C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．因乙方提供的硬件、软件等服务侵害他人权利，乙方应承担全部赔偿责任，甲方有权解除合同</w:t>
      </w:r>
      <w:r>
        <w:rPr>
          <w:rFonts w:ascii="宋体" w:hAnsi="宋体"/>
          <w:color w:val="auto"/>
          <w:sz w:val="24"/>
          <w:szCs w:val="24"/>
          <w:highlight w:val="none"/>
        </w:rPr>
        <w:t xml:space="preserve">, </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A1DCB9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．乙方在提供服务过程中造成他人损害的，由乙方承担全部责任。</w:t>
      </w:r>
    </w:p>
    <w:p w14:paraId="50AEBCF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7</w:t>
      </w:r>
      <w:r>
        <w:rPr>
          <w:rFonts w:hint="eastAsia" w:ascii="宋体" w:hAnsi="宋体"/>
          <w:color w:val="auto"/>
          <w:sz w:val="24"/>
          <w:szCs w:val="24"/>
          <w:highlight w:val="none"/>
        </w:rPr>
        <w:t>．因乙方的原因，合同无法履行的，甲方有权解除合同，乙方应在收到解除通知后</w:t>
      </w:r>
      <w:r>
        <w:rPr>
          <w:rFonts w:ascii="宋体" w:hAnsi="宋体"/>
          <w:color w:val="auto"/>
          <w:sz w:val="24"/>
          <w:szCs w:val="24"/>
          <w:highlight w:val="none"/>
        </w:rPr>
        <w:t>7</w:t>
      </w:r>
      <w:r>
        <w:rPr>
          <w:rFonts w:hint="eastAsia" w:ascii="宋体" w:hAnsi="宋体"/>
          <w:color w:val="auto"/>
          <w:sz w:val="24"/>
          <w:szCs w:val="24"/>
          <w:highlight w:val="none"/>
        </w:rPr>
        <w:t>天内退还已收取的所有款项并承担合同总价款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9B3B12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8</w:t>
      </w:r>
      <w:r>
        <w:rPr>
          <w:rFonts w:hint="eastAsia" w:ascii="宋体" w:hAnsi="宋体"/>
          <w:color w:val="auto"/>
          <w:sz w:val="24"/>
          <w:szCs w:val="24"/>
          <w:highlight w:val="none"/>
        </w:rPr>
        <w:t>．甲方应当将乙方违约的情况以及拟采取的措施以书面形式报政府采购监管部门，根据政府采购监管部门的处理意见，甲方有权要求乙方承担违约责任。同时，政府采购监管部门有权依据</w:t>
      </w:r>
      <w:r>
        <w:rPr>
          <w:rFonts w:ascii="宋体" w:hAnsi="宋体"/>
          <w:color w:val="auto"/>
          <w:sz w:val="24"/>
          <w:szCs w:val="24"/>
          <w:highlight w:val="none"/>
        </w:rPr>
        <w:t xml:space="preserve"> </w:t>
      </w:r>
      <w:r>
        <w:rPr>
          <w:rFonts w:hint="eastAsia" w:ascii="宋体" w:hAnsi="宋体"/>
          <w:color w:val="auto"/>
          <w:sz w:val="24"/>
          <w:szCs w:val="24"/>
          <w:highlight w:val="none"/>
        </w:rPr>
        <w:t>《政府采购法》及相关法律法规对乙方的违法行为进行相应的处罚。</w:t>
      </w:r>
    </w:p>
    <w:p w14:paraId="4074B72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9</w:t>
      </w:r>
      <w:r>
        <w:rPr>
          <w:rFonts w:hint="eastAsia" w:ascii="宋体" w:hAnsi="宋体"/>
          <w:color w:val="auto"/>
          <w:sz w:val="24"/>
          <w:szCs w:val="24"/>
          <w:highlight w:val="none"/>
        </w:rPr>
        <w:t>．乙方违反其他合同条款的，应承担合同总价款</w:t>
      </w:r>
      <w:r>
        <w:rPr>
          <w:rFonts w:ascii="宋体" w:hAnsi="宋体"/>
          <w:color w:val="auto"/>
          <w:sz w:val="24"/>
          <w:szCs w:val="24"/>
          <w:highlight w:val="none"/>
        </w:rPr>
        <w:t>30%</w:t>
      </w:r>
      <w:r>
        <w:rPr>
          <w:rFonts w:hint="eastAsia" w:ascii="宋体" w:hAnsi="宋体"/>
          <w:color w:val="auto"/>
          <w:sz w:val="24"/>
          <w:szCs w:val="24"/>
          <w:highlight w:val="none"/>
        </w:rPr>
        <w:t>的违约责任，对甲方造成损失的，乙方应承担赔偿责任（包括但不限于实际损失、可预期损失及律师费）。</w:t>
      </w:r>
    </w:p>
    <w:p w14:paraId="00F7AA1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．上述约定的违约条款可合并适用，合并适用后仍不能弥补甲方损失的，甲方有权继续追偿。</w:t>
      </w:r>
    </w:p>
    <w:p w14:paraId="3EFBB21D">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lang w:eastAsia="zh-CN"/>
        </w:rPr>
        <w:t>第十条</w:t>
      </w:r>
      <w:r>
        <w:rPr>
          <w:rFonts w:hint="eastAsia" w:ascii="宋体" w:hAnsi="宋体" w:cs="宋体"/>
          <w:b/>
          <w:bCs/>
          <w:color w:val="auto"/>
          <w:sz w:val="24"/>
          <w:szCs w:val="24"/>
          <w:highlight w:val="none"/>
        </w:rPr>
        <w:t>、合同变更、解除及终止的条件</w:t>
      </w:r>
    </w:p>
    <w:p w14:paraId="1F66CB4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.1本合同在执行过程中，如合同一方提出修改，须报政府采购管理部门同意后，由甲、乙双方签署书面修改协议，并成为本合同不可分割的一部分。除此之外，本合同的条件不得有任何变化或修改。</w:t>
      </w:r>
    </w:p>
    <w:p w14:paraId="77DE981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.2有下述情形之一，当事人可发出书面通知全部或部分地解除合同，合同自通知到达对方时全部或部分地解除：</w:t>
      </w:r>
    </w:p>
    <w:p w14:paraId="687FE4E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66A4A69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453407F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（3）甲方迟延付款超过</w:t>
      </w:r>
      <w:r>
        <w:rPr>
          <w:rFonts w:hint="eastAsia" w:ascii="宋体" w:hAnsi="宋体" w:cs="宋体"/>
          <w:b/>
          <w:bCs/>
          <w:color w:val="auto"/>
          <w:sz w:val="24"/>
          <w:szCs w:val="24"/>
          <w:highlight w:val="none"/>
          <w:u w:val="single"/>
        </w:rPr>
        <w:t>2个月</w:t>
      </w:r>
      <w:r>
        <w:rPr>
          <w:rFonts w:hint="eastAsia" w:ascii="宋体" w:hAnsi="宋体" w:cs="宋体"/>
          <w:color w:val="auto"/>
          <w:sz w:val="24"/>
          <w:szCs w:val="24"/>
          <w:highlight w:val="none"/>
        </w:rPr>
        <w:t>；</w:t>
      </w:r>
    </w:p>
    <w:p w14:paraId="27E32E7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7027F1D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（5）合同一方当事人出现破产、清算、资不抵债、成为失信被执行人等可能丧失履约能力的情形，且未能提供令对方满意的履约保证金。</w:t>
      </w:r>
    </w:p>
    <w:p w14:paraId="51B66C3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.3在乙方违约的情况下，甲方报告政府采购管理部门后，有权终止合同，并依法向乙方进行索赔实际损失(包括但不限于维权所支出的律师费、诉讼费、交通费等)。</w:t>
      </w:r>
    </w:p>
    <w:p w14:paraId="7D375BBF">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第十一条</w:t>
      </w:r>
      <w:r>
        <w:rPr>
          <w:rFonts w:hint="eastAsia" w:ascii="宋体" w:hAnsi="宋体" w:cs="宋体"/>
          <w:b/>
          <w:bCs/>
          <w:color w:val="auto"/>
          <w:sz w:val="24"/>
          <w:szCs w:val="24"/>
          <w:highlight w:val="none"/>
        </w:rPr>
        <w:t>、验收方式</w:t>
      </w:r>
    </w:p>
    <w:p w14:paraId="2FD9987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2274B59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.2验收依据</w:t>
      </w:r>
    </w:p>
    <w:p w14:paraId="621DBBA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.2.1招标文件、响应文件、澄清表（函）；</w:t>
      </w:r>
    </w:p>
    <w:p w14:paraId="7D9B61A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.2.2本合同及附件文本；</w:t>
      </w:r>
    </w:p>
    <w:p w14:paraId="3BC6C19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.2.3合同签订时国家及行业现行的标准和技术规范。</w:t>
      </w:r>
    </w:p>
    <w:p w14:paraId="78840ED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.3成交供应商应向采购人提交项目实施过程中的所有资料，以便采购人日后管理和维护。</w:t>
      </w:r>
    </w:p>
    <w:p w14:paraId="09DBC8B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.4鉴定和验收费用，由乙方承担。</w:t>
      </w:r>
    </w:p>
    <w:p w14:paraId="3A0E3EB3">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第十二条</w:t>
      </w:r>
      <w:r>
        <w:rPr>
          <w:rFonts w:hint="eastAsia" w:ascii="宋体" w:hAnsi="宋体" w:cs="宋体"/>
          <w:b/>
          <w:bCs/>
          <w:color w:val="auto"/>
          <w:sz w:val="24"/>
          <w:szCs w:val="24"/>
          <w:highlight w:val="none"/>
        </w:rPr>
        <w:t>、保密约定</w:t>
      </w:r>
    </w:p>
    <w:p w14:paraId="07D2BDE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.1合同双方应对因履行合同而取得的另一方当事人的信息、资料等予以保密。未经另一方当事人书面同意，任何一方均不得为与履行合同无关的目的使用或向第三方披露另一方当事人提供的信息、资料。</w:t>
      </w:r>
    </w:p>
    <w:p w14:paraId="167E436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.2合同当事人的保密义务不适用于下列信息：</w:t>
      </w:r>
    </w:p>
    <w:p w14:paraId="31E4B5C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7544BDF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440CD28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3E1501D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第十三条</w:t>
      </w:r>
      <w:r>
        <w:rPr>
          <w:rFonts w:hint="eastAsia" w:ascii="宋体" w:hAnsi="宋体" w:cs="宋体"/>
          <w:b/>
          <w:bCs/>
          <w:color w:val="auto"/>
          <w:sz w:val="24"/>
          <w:szCs w:val="24"/>
          <w:highlight w:val="none"/>
        </w:rPr>
        <w:t>、合同争议解决方式</w:t>
      </w:r>
    </w:p>
    <w:p w14:paraId="1923C09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因执行本合同所发生的或与本合同有关的一切争议,双方应通过友好协商解决，协商不成的可依法</w:t>
      </w:r>
      <w:r>
        <w:rPr>
          <w:color w:val="auto"/>
          <w:sz w:val="24"/>
          <w:szCs w:val="24"/>
          <w:highlight w:val="none"/>
        </w:rPr>
        <w:t>向有管辖权的人民法院提起诉讼</w:t>
      </w:r>
      <w:r>
        <w:rPr>
          <w:rFonts w:hint="eastAsia" w:ascii="宋体" w:hAnsi="宋体" w:cs="宋体"/>
          <w:color w:val="auto"/>
          <w:sz w:val="24"/>
          <w:szCs w:val="24"/>
          <w:highlight w:val="none"/>
        </w:rPr>
        <w:t>。</w:t>
      </w:r>
    </w:p>
    <w:p w14:paraId="6EDA3AE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第十四条</w:t>
      </w:r>
      <w:r>
        <w:rPr>
          <w:rFonts w:hint="eastAsia" w:ascii="宋体" w:hAnsi="宋体" w:cs="宋体"/>
          <w:b/>
          <w:bCs/>
          <w:color w:val="auto"/>
          <w:sz w:val="24"/>
          <w:szCs w:val="24"/>
          <w:highlight w:val="none"/>
        </w:rPr>
        <w:t>、不可抗力情况下的免责约定</w:t>
      </w:r>
    </w:p>
    <w:p w14:paraId="6339970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0F99817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14:paraId="24A36773">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22B0EB8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第十五条</w:t>
      </w:r>
      <w:r>
        <w:rPr>
          <w:rFonts w:hint="eastAsia" w:ascii="宋体" w:hAnsi="宋体" w:cs="宋体"/>
          <w:b/>
          <w:bCs/>
          <w:color w:val="auto"/>
          <w:sz w:val="24"/>
          <w:szCs w:val="24"/>
          <w:highlight w:val="none"/>
        </w:rPr>
        <w:t>、生效条件、订立日期</w:t>
      </w:r>
    </w:p>
    <w:p w14:paraId="30998A1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.1本合同自签订之日起生效。</w:t>
      </w:r>
    </w:p>
    <w:p w14:paraId="0C90927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.2合同一式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份，采购人、成交供应商各执</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w:t>
      </w:r>
      <w:r>
        <w:rPr>
          <w:rFonts w:hint="eastAsia" w:ascii="宋体" w:hAnsi="宋体" w:cs="宋体"/>
          <w:color w:val="auto"/>
          <w:sz w:val="24"/>
          <w:szCs w:val="24"/>
          <w:highlight w:val="none"/>
          <w:lang w:eastAsia="zh-CN"/>
        </w:rPr>
        <w:t>。</w:t>
      </w:r>
    </w:p>
    <w:p w14:paraId="0E94394E">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.3如本合同有未尽事宜，以招标文件为准，招标文件未做要求的，由双方依法订立补充合同。</w:t>
      </w:r>
    </w:p>
    <w:p w14:paraId="693F8FEE">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w:t>
      </w:r>
      <w:r>
        <w:rPr>
          <w:rFonts w:hint="eastAsia" w:ascii="宋体" w:hAnsi="宋体" w:cs="宋体"/>
          <w:b/>
          <w:bCs/>
          <w:color w:val="auto"/>
          <w:sz w:val="24"/>
          <w:szCs w:val="24"/>
          <w:highlight w:val="none"/>
        </w:rPr>
        <w:t>十</w:t>
      </w:r>
      <w:r>
        <w:rPr>
          <w:rFonts w:hint="eastAsia" w:ascii="宋体" w:hAnsi="宋体" w:cs="宋体"/>
          <w:b/>
          <w:bCs/>
          <w:color w:val="auto"/>
          <w:sz w:val="24"/>
          <w:szCs w:val="24"/>
          <w:highlight w:val="none"/>
          <w:lang w:val="en-US" w:eastAsia="zh-CN"/>
        </w:rPr>
        <w:t>六条</w:t>
      </w:r>
      <w:r>
        <w:rPr>
          <w:rFonts w:hint="eastAsia" w:ascii="宋体" w:hAnsi="宋体" w:cs="宋体"/>
          <w:b/>
          <w:bCs/>
          <w:color w:val="auto"/>
          <w:sz w:val="24"/>
          <w:szCs w:val="24"/>
          <w:highlight w:val="none"/>
        </w:rPr>
        <w:t>、其他事项</w:t>
      </w:r>
    </w:p>
    <w:p w14:paraId="4C8EA75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合同其他事项双方另行协商补充：</w:t>
      </w:r>
      <w:r>
        <w:rPr>
          <w:rFonts w:hint="eastAsia" w:ascii="宋体" w:hAnsi="宋体" w:cs="宋体"/>
          <w:color w:val="auto"/>
          <w:sz w:val="24"/>
          <w:szCs w:val="24"/>
          <w:highlight w:val="none"/>
          <w:u w:val="single"/>
        </w:rPr>
        <w:t xml:space="preserve">                /                   </w:t>
      </w:r>
    </w:p>
    <w:p w14:paraId="3B4A1A87">
      <w:pPr>
        <w:pStyle w:val="3"/>
        <w:rPr>
          <w:rFonts w:hint="eastAsia"/>
          <w:highlight w:val="none"/>
        </w:rPr>
      </w:pPr>
    </w:p>
    <w:tbl>
      <w:tblPr>
        <w:tblStyle w:val="4"/>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61"/>
        <w:gridCol w:w="3838"/>
      </w:tblGrid>
      <w:tr w14:paraId="3805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4950A2D1">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甲  方</w:t>
            </w:r>
          </w:p>
        </w:tc>
        <w:tc>
          <w:tcPr>
            <w:tcW w:w="2312" w:type="pct"/>
            <w:tcBorders>
              <w:tl2br w:val="nil"/>
              <w:tr2bl w:val="nil"/>
            </w:tcBorders>
            <w:noWrap/>
            <w:vAlign w:val="center"/>
          </w:tcPr>
          <w:p w14:paraId="72F25CB0">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乙  方</w:t>
            </w:r>
          </w:p>
        </w:tc>
      </w:tr>
      <w:tr w14:paraId="1F367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687" w:type="pct"/>
            <w:tcBorders>
              <w:tl2br w:val="nil"/>
              <w:tr2bl w:val="nil"/>
            </w:tcBorders>
            <w:noWrap/>
            <w:vAlign w:val="center"/>
          </w:tcPr>
          <w:p w14:paraId="6ACB452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c>
          <w:tcPr>
            <w:tcW w:w="2312" w:type="pct"/>
            <w:tcBorders>
              <w:tl2br w:val="nil"/>
              <w:tr2bl w:val="nil"/>
            </w:tcBorders>
            <w:noWrap/>
            <w:vAlign w:val="center"/>
          </w:tcPr>
          <w:p w14:paraId="2E04B23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r>
      <w:tr w14:paraId="4334E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687" w:type="pct"/>
            <w:tcBorders>
              <w:tl2br w:val="nil"/>
              <w:tr2bl w:val="nil"/>
            </w:tcBorders>
            <w:noWrap/>
            <w:vAlign w:val="center"/>
          </w:tcPr>
          <w:p w14:paraId="3C10632C">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2312" w:type="pct"/>
            <w:tcBorders>
              <w:tl2br w:val="nil"/>
              <w:tr2bl w:val="nil"/>
            </w:tcBorders>
            <w:noWrap/>
            <w:vAlign w:val="top"/>
          </w:tcPr>
          <w:p w14:paraId="3D9A7954">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125B3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673C3262">
            <w:pPr>
              <w:autoSpaceDE w:val="0"/>
              <w:autoSpaceDN w:val="0"/>
              <w:adjustRightInd w:val="0"/>
              <w:spacing w:line="360" w:lineRule="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lang w:val="en-US" w:eastAsia="zh-CN"/>
              </w:rPr>
              <w:t xml:space="preserve"> </w:t>
            </w:r>
          </w:p>
        </w:tc>
        <w:tc>
          <w:tcPr>
            <w:tcW w:w="2312" w:type="pct"/>
            <w:tcBorders>
              <w:tl2br w:val="nil"/>
              <w:tr2bl w:val="nil"/>
            </w:tcBorders>
            <w:noWrap/>
            <w:vAlign w:val="center"/>
          </w:tcPr>
          <w:p w14:paraId="66B8F64A">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22E6FD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687" w:type="pct"/>
            <w:tcBorders>
              <w:tl2br w:val="nil"/>
              <w:tr2bl w:val="nil"/>
            </w:tcBorders>
            <w:noWrap/>
            <w:vAlign w:val="center"/>
          </w:tcPr>
          <w:p w14:paraId="14D05104">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2312" w:type="pct"/>
            <w:tcBorders>
              <w:tl2br w:val="nil"/>
              <w:tr2bl w:val="nil"/>
            </w:tcBorders>
            <w:noWrap/>
            <w:vAlign w:val="center"/>
          </w:tcPr>
          <w:p w14:paraId="5D6CA15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r>
      <w:tr w14:paraId="14394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687" w:type="pct"/>
            <w:tcBorders>
              <w:tl2br w:val="nil"/>
              <w:tr2bl w:val="nil"/>
            </w:tcBorders>
            <w:noWrap/>
            <w:vAlign w:val="center"/>
          </w:tcPr>
          <w:p w14:paraId="0441729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c>
          <w:tcPr>
            <w:tcW w:w="2312" w:type="pct"/>
            <w:tcBorders>
              <w:tl2br w:val="nil"/>
              <w:tr2bl w:val="nil"/>
            </w:tcBorders>
            <w:noWrap/>
            <w:vAlign w:val="center"/>
          </w:tcPr>
          <w:p w14:paraId="5BEAE32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r>
      <w:tr w14:paraId="6D547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687" w:type="pct"/>
            <w:tcBorders>
              <w:tl2br w:val="nil"/>
              <w:tr2bl w:val="nil"/>
            </w:tcBorders>
            <w:noWrap/>
            <w:vAlign w:val="center"/>
          </w:tcPr>
          <w:p w14:paraId="3CDB468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c>
          <w:tcPr>
            <w:tcW w:w="2312" w:type="pct"/>
            <w:tcBorders>
              <w:tl2br w:val="nil"/>
              <w:tr2bl w:val="nil"/>
            </w:tcBorders>
            <w:noWrap/>
            <w:vAlign w:val="center"/>
          </w:tcPr>
          <w:p w14:paraId="2654A37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r>
      <w:tr w14:paraId="48184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687" w:type="pct"/>
            <w:tcBorders>
              <w:tl2br w:val="nil"/>
              <w:tr2bl w:val="nil"/>
            </w:tcBorders>
            <w:noWrap/>
            <w:vAlign w:val="center"/>
          </w:tcPr>
          <w:p w14:paraId="61E634F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top"/>
          </w:tcPr>
          <w:p w14:paraId="0E7CBB0D">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r>
      <w:tr w14:paraId="1B633C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87" w:type="pct"/>
            <w:tcBorders>
              <w:tl2br w:val="nil"/>
              <w:tr2bl w:val="nil"/>
            </w:tcBorders>
            <w:noWrap/>
            <w:vAlign w:val="center"/>
          </w:tcPr>
          <w:p w14:paraId="716FF72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center"/>
          </w:tcPr>
          <w:p w14:paraId="1E8569E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r>
      <w:tr w14:paraId="537EB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87" w:type="pct"/>
            <w:tcBorders>
              <w:tl2br w:val="nil"/>
              <w:tr2bl w:val="nil"/>
            </w:tcBorders>
            <w:noWrap/>
            <w:vAlign w:val="center"/>
          </w:tcPr>
          <w:p w14:paraId="2DAAC98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c>
          <w:tcPr>
            <w:tcW w:w="2312" w:type="pct"/>
            <w:tcBorders>
              <w:tl2br w:val="nil"/>
              <w:tr2bl w:val="nil"/>
            </w:tcBorders>
            <w:noWrap/>
            <w:vAlign w:val="center"/>
          </w:tcPr>
          <w:p w14:paraId="6135C76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r>
    </w:tbl>
    <w:p w14:paraId="467CBBA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515962D7"/>
    <w:rsid w:val="0CF85966"/>
    <w:rsid w:val="2C88151C"/>
    <w:rsid w:val="3DE12E02"/>
    <w:rsid w:val="4F4B7746"/>
    <w:rsid w:val="51596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pPr>
      <w:spacing w:line="240" w:lineRule="auto"/>
    </w:p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1445</Words>
  <Characters>1471</Characters>
  <Lines>0</Lines>
  <Paragraphs>0</Paragraphs>
  <TotalTime>2</TotalTime>
  <ScaleCrop>false</ScaleCrop>
  <LinksUpToDate>false</LinksUpToDate>
  <CharactersWithSpaces>1641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2024-10-10T08:41:00Z</dcterms:created>
  <dc:creator>刘菲</dc:creator>
  <cp:lastModifiedBy>刘菲</cp:lastModifiedBy>
  <dcterms:modified xsi:type="dcterms:W3CDTF">2025-08-08T06:43:49Z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9246631F81EB48CEB1D7949222D8AA4A_13</vt:lpwstr>
  </property>
  <property fmtid="{D5CDD505-2E9C-101B-9397-08002B2CF9AE}" pid="4" name="KSOTemplateDocerSaveRecord">
    <vt:lpwstr>eyJoZGlkIjoiNjBjMTUwMjhmNmI2ZmVlMTBkYzRmYzI5MTBmNTk5ODUiLCJ1c2VySWQiOiIzNzMwMTc5MDgifQ==</vt:lpwstr>
  </property>
</Properties>
</file>