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版本号：WDZB2025-117420250807001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信息化小程序（二期）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WDZB2025-1174</w:t>
      </w:r>
      <w:r>
        <w:br/>
      </w:r>
      <w:r>
        <w:br/>
      </w:r>
      <w:r>
        <w:br/>
      </w:r>
    </w:p>
    <w:p>
      <w:pPr>
        <w:pStyle w:val="null3"/>
        <w:jc w:val="center"/>
        <w:outlineLvl w:val="2"/>
      </w:pPr>
      <w:r>
        <w:rPr>
          <w:rFonts w:ascii="仿宋_GB2312" w:hAnsi="仿宋_GB2312" w:cs="仿宋_GB2312" w:eastAsia="仿宋_GB2312"/>
          <w:sz w:val="28"/>
          <w:b/>
        </w:rPr>
        <w:t>西安市军队转业干部培训中心</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西安市军队转业干部培训中心</w:t>
      </w:r>
      <w:r>
        <w:rPr>
          <w:rFonts w:ascii="仿宋_GB2312" w:hAnsi="仿宋_GB2312" w:cs="仿宋_GB2312" w:eastAsia="仿宋_GB2312"/>
        </w:rPr>
        <w:t>委托，拟对</w:t>
      </w:r>
      <w:r>
        <w:rPr>
          <w:rFonts w:ascii="仿宋_GB2312" w:hAnsi="仿宋_GB2312" w:cs="仿宋_GB2312" w:eastAsia="仿宋_GB2312"/>
        </w:rPr>
        <w:t>信息化小程序（二期）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WDZB2025-1174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信息化小程序（二期）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西安市军队转业干部培训中心信息化小程序（二期）</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采购包1（西安市军队转业干部培训中心信息化小程序（二期））：属于专门面向小微企业采购。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西安市军队转业干部培训中心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陕西省西安市碑林区交大商场街皇甫庄甲字1号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张旭东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029-82226872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黄倩、张静、戚洪良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采购包1：353,505.00元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成交通知书确定的成交金额作为收费计算依据。经甲乙双方协商后决定，由成交人在领取成交通知书前向采购代理机构一次性支付。招标代理服务费支付方式：银行转账或现金方式收款单位：陕西万德招标有限公司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西安市军队转业干部培训中心</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西安市军队转业干部培训中心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西安市军队转业干部培训中心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联系人：黄倩、张静、戚洪良</w:t>
      </w:r>
    </w:p>
    <w:p>
      <w:pPr>
        <w:pStyle w:val="null3"/>
      </w:pPr>
      <w:r>
        <w:rPr>
          <w:rFonts w:ascii="仿宋_GB2312" w:hAnsi="仿宋_GB2312" w:cs="仿宋_GB2312" w:eastAsia="仿宋_GB2312"/>
        </w:rPr>
        <w:t>联系电话：029-85561862/85561863转801</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西安市军队转业干部培训中心信息化小程序（二期）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353,505.00</w:t>
      </w:r>
    </w:p>
    <w:p>
      <w:pPr>
        <w:pStyle w:val="null3"/>
      </w:pPr>
      <w:r>
        <w:rPr>
          <w:rFonts w:ascii="仿宋_GB2312" w:hAnsi="仿宋_GB2312" w:cs="仿宋_GB2312" w:eastAsia="仿宋_GB2312"/>
        </w:rPr>
        <w:t>采购包最高限价（元）: 353,505.00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信息化小程序（二期）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353,505.00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标的名称：信息化小程序（二期）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05" w:after="105"/>
              <w:jc w:val="both"/>
            </w:pPr>
            <w:r>
              <w:rPr>
                <w:rFonts w:ascii="仿宋_GB2312" w:hAnsi="仿宋_GB2312" w:cs="仿宋_GB2312" w:eastAsia="仿宋_GB2312"/>
                <w:sz w:val="24"/>
              </w:rPr>
              <w:t>1.概述</w:t>
            </w:r>
          </w:p>
          <w:p>
            <w:pPr>
              <w:pStyle w:val="null3"/>
              <w:spacing w:before="105" w:after="105"/>
              <w:jc w:val="both"/>
            </w:pPr>
            <w:r>
              <w:rPr>
                <w:rFonts w:ascii="仿宋_GB2312" w:hAnsi="仿宋_GB2312" w:cs="仿宋_GB2312" w:eastAsia="仿宋_GB2312"/>
                <w:sz w:val="24"/>
              </w:rPr>
              <w:t xml:space="preserve"> 为全面推动军转干部工作提质增效，满足自主择业军转干部管理服务工作需要，实现军转干部群体事务办理便捷，问题一站式解决，计划进行信息化小程序项目（二期）服务内容，真正实现让信息多“跑路”，让军转干部群体足不出户就能知晓政策、办理业务查询。</w:t>
            </w:r>
          </w:p>
          <w:p>
            <w:pPr>
              <w:pStyle w:val="null3"/>
              <w:spacing w:before="105" w:after="105"/>
              <w:jc w:val="both"/>
            </w:pPr>
            <w:r>
              <w:rPr>
                <w:rFonts w:ascii="仿宋_GB2312" w:hAnsi="仿宋_GB2312" w:cs="仿宋_GB2312" w:eastAsia="仿宋_GB2312"/>
                <w:sz w:val="24"/>
              </w:rPr>
              <w:t>2.现状</w:t>
            </w:r>
          </w:p>
          <w:p>
            <w:pPr>
              <w:pStyle w:val="null3"/>
              <w:spacing w:before="105" w:after="105"/>
              <w:ind w:left="360"/>
              <w:jc w:val="both"/>
            </w:pPr>
            <w:r>
              <w:rPr>
                <w:rFonts w:ascii="仿宋_GB2312" w:hAnsi="仿宋_GB2312" w:cs="仿宋_GB2312" w:eastAsia="仿宋_GB2312"/>
                <w:sz w:val="24"/>
              </w:rPr>
              <w:t>（</w:t>
            </w:r>
            <w:r>
              <w:rPr>
                <w:rFonts w:ascii="仿宋_GB2312" w:hAnsi="仿宋_GB2312" w:cs="仿宋_GB2312" w:eastAsia="仿宋_GB2312"/>
                <w:sz w:val="24"/>
              </w:rPr>
              <w:t>1）网络现状：目前西安市军队转业干部培训中心配备有国产化服务器及政务网资源，可访问互联网网络资源。</w:t>
            </w:r>
          </w:p>
          <w:p>
            <w:pPr>
              <w:pStyle w:val="null3"/>
              <w:spacing w:before="105" w:after="105"/>
              <w:ind w:left="360"/>
              <w:jc w:val="both"/>
            </w:pPr>
            <w:r>
              <w:rPr>
                <w:rFonts w:ascii="仿宋_GB2312" w:hAnsi="仿宋_GB2312" w:cs="仿宋_GB2312" w:eastAsia="仿宋_GB2312"/>
                <w:sz w:val="24"/>
              </w:rPr>
              <w:t>（</w:t>
            </w:r>
            <w:r>
              <w:rPr>
                <w:rFonts w:ascii="仿宋_GB2312" w:hAnsi="仿宋_GB2312" w:cs="仿宋_GB2312" w:eastAsia="仿宋_GB2312"/>
                <w:sz w:val="24"/>
              </w:rPr>
              <w:t>2）系统现状：目前已有系统，可查询相关医保福利、独生子女福利、教育附加福利及取暖费。</w:t>
            </w:r>
          </w:p>
          <w:p>
            <w:pPr>
              <w:pStyle w:val="null3"/>
              <w:spacing w:before="105" w:after="105"/>
              <w:jc w:val="both"/>
            </w:pPr>
            <w:r>
              <w:rPr>
                <w:rFonts w:ascii="仿宋_GB2312" w:hAnsi="仿宋_GB2312" w:cs="仿宋_GB2312" w:eastAsia="仿宋_GB2312"/>
                <w:sz w:val="24"/>
              </w:rPr>
              <w:t>3.建设目标</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首页：显示信息动态、风采展示、通知公告。</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我的：个人信息管理、消息管理、我的公益、我的招聘、我的创业、福利查询</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求职招聘：我的简历、职位搜索、职位推荐、职位收藏、简历投递、职位申请记录查询、简历下载记录查询、求职反馈、意见建议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社会公益：志愿活动展示、志愿活动申请、在线报名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创业创新：沙龙公告展示、在线报名、企业联盟申请、企业联盟活动展示、企业联盟活动报名</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培训管理：培训通知公告查询、培训机构查询、培训项目查询、培训需求登记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用户鉴权：登录、忘记密码、密码修改、会员注册、身份认证</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后台用户管理：账号管理、权限管理、身份认证管理、密码管理、登录日志查询、人员档案、医保福利、独生子女福利、教育附加福利、取暖费</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首页管理：信息动态管理、通知公告管理、风采展示管理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求职招聘：企业信息管理、岗位信息发布、岗位信息状态管理、投递简历管理、简历下载、求职反馈</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社会公益：志愿活动管理、志愿活动申请情况查询和管理、在线报名情况查询和管理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创业创新：沙龙公告发布管理、在线报名情况查询和管理、企业联盟申请情况查询和管理、企业联盟活动发布管理、企业联盟活动报名情况查询和管理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培训管理</w:t>
            </w:r>
            <w:r>
              <w:rPr>
                <w:rFonts w:ascii="仿宋_GB2312" w:hAnsi="仿宋_GB2312" w:cs="仿宋_GB2312" w:eastAsia="仿宋_GB2312"/>
                <w:sz w:val="24"/>
              </w:rPr>
              <w:t>：培训通知、公告发布和管理、培训机构管理、培训项目管理、培训需求登记情况查询和管理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推送管理：推送内容管理、推送方式管理、推送对象管理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会员管理：账号管理、密码管理、手机绑定管理</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w:t>
            </w:r>
            <w:r>
              <w:rPr>
                <w:rFonts w:ascii="仿宋_GB2312" w:hAnsi="仿宋_GB2312" w:cs="仿宋_GB2312" w:eastAsia="仿宋_GB2312"/>
                <w:sz w:val="24"/>
              </w:rPr>
              <w:t>）</w:t>
            </w:r>
            <w:r>
              <w:rPr>
                <w:rFonts w:ascii="仿宋_GB2312" w:hAnsi="仿宋_GB2312" w:cs="仿宋_GB2312" w:eastAsia="仿宋_GB2312"/>
                <w:sz w:val="24"/>
              </w:rPr>
              <w:t>统计查询</w:t>
            </w:r>
            <w:r>
              <w:rPr>
                <w:rFonts w:ascii="仿宋_GB2312" w:hAnsi="仿宋_GB2312" w:cs="仿宋_GB2312" w:eastAsia="仿宋_GB2312"/>
                <w:sz w:val="24"/>
              </w:rPr>
              <w:t>：求职信息查询、招聘信息查询、简历投递信息查询、工种供求统计、求职人群年龄统计、沙龙活动统计、企业联盟统计、培训统计、会员信息统计、小程序访问量统计</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时间要求</w:t>
            </w:r>
          </w:p>
          <w:p>
            <w:pPr>
              <w:pStyle w:val="null3"/>
              <w:spacing w:before="105" w:after="105"/>
              <w:ind w:firstLine="480"/>
              <w:jc w:val="both"/>
            </w:pPr>
            <w:r>
              <w:rPr>
                <w:rFonts w:ascii="仿宋_GB2312" w:hAnsi="仿宋_GB2312" w:cs="仿宋_GB2312" w:eastAsia="仿宋_GB2312"/>
                <w:sz w:val="24"/>
              </w:rPr>
              <w:t>含调研、设计、开发、测试、安装、培训时间不得超过</w:t>
            </w:r>
            <w:r>
              <w:rPr>
                <w:rFonts w:ascii="仿宋_GB2312" w:hAnsi="仿宋_GB2312" w:cs="仿宋_GB2312" w:eastAsia="仿宋_GB2312"/>
                <w:sz w:val="24"/>
              </w:rPr>
              <w:t>4个月；</w:t>
            </w:r>
          </w:p>
          <w:p>
            <w:pPr>
              <w:pStyle w:val="null3"/>
              <w:jc w:val="both"/>
            </w:pPr>
            <w:r>
              <w:rPr>
                <w:rFonts w:ascii="仿宋_GB2312" w:hAnsi="仿宋_GB2312" w:cs="仿宋_GB2312" w:eastAsia="仿宋_GB2312"/>
                <w:sz w:val="24"/>
              </w:rPr>
              <w:t>5.</w:t>
            </w:r>
            <w:r>
              <w:rPr>
                <w:rFonts w:ascii="仿宋_GB2312" w:hAnsi="仿宋_GB2312" w:cs="仿宋_GB2312" w:eastAsia="仿宋_GB2312"/>
                <w:sz w:val="24"/>
              </w:rPr>
              <w:t>数据同步</w:t>
            </w:r>
          </w:p>
          <w:p>
            <w:pPr>
              <w:pStyle w:val="null3"/>
              <w:spacing w:before="105" w:after="105"/>
              <w:ind w:firstLine="645"/>
              <w:jc w:val="both"/>
            </w:pPr>
            <w:r>
              <w:rPr>
                <w:rFonts w:ascii="仿宋_GB2312" w:hAnsi="仿宋_GB2312" w:cs="仿宋_GB2312" w:eastAsia="仿宋_GB2312"/>
                <w:sz w:val="24"/>
              </w:rPr>
              <w:t>系统现状中提到的医保福利、独生子女福利、教育附加福利及取暖费数据存储于正在使用的系统，都存在独立的账数据信息，为避免重复信息录入、降低重复办公，要求能找到更好的方法对这些信息进行同步操作，实现数据实时同步。</w:t>
            </w:r>
          </w:p>
          <w:tbl>
            <w:tblPr>
              <w:tblBorders>
                <w:top w:val="none" w:color="000000" w:sz="4"/>
                <w:left w:val="none" w:color="000000" w:sz="4"/>
                <w:bottom w:val="none" w:color="000000" w:sz="4"/>
                <w:right w:val="none" w:color="000000" w:sz="4"/>
                <w:insideH w:val="none"/>
                <w:insideV w:val="none"/>
              </w:tblBorders>
            </w:tblPr>
            <w:tblGrid>
              <w:gridCol w:w="522"/>
              <w:gridCol w:w="1941"/>
            </w:tblGrid>
            <w:tr>
              <w:tc>
                <w:tcPr>
                  <w:tcW w:type="dxa" w:w="522"/>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功能</w:t>
                  </w:r>
                </w:p>
              </w:tc>
              <w:tc>
                <w:tcPr>
                  <w:tcW w:type="dxa" w:w="1941"/>
                  <w:tcBorders>
                    <w:top w:val="single" w:color="000000" w:sz="4"/>
                    <w:left w:val="none" w:color="000000" w:sz="4"/>
                    <w:bottom w:val="single" w:color="000000" w:sz="4"/>
                    <w:right w:val="non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描述</w:t>
                  </w:r>
                </w:p>
              </w:tc>
            </w:tr>
            <w:tr>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导入或同步</w:t>
                  </w:r>
                </w:p>
              </w:tc>
              <w:tc>
                <w:tcPr>
                  <w:tcW w:type="dxa" w:w="194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从现有系统中读取医保福利、独生子女福利、教育附加福利及取暖费等信息。</w:t>
                  </w:r>
                </w:p>
              </w:tc>
            </w:tr>
          </w:tbl>
          <w:p>
            <w:pPr>
              <w:pStyle w:val="null3"/>
              <w:jc w:val="both"/>
            </w:pPr>
            <w:r>
              <w:rPr>
                <w:rFonts w:ascii="仿宋_GB2312" w:hAnsi="仿宋_GB2312" w:cs="仿宋_GB2312" w:eastAsia="仿宋_GB2312"/>
                <w:sz w:val="24"/>
              </w:rPr>
              <w:t>6.</w:t>
            </w:r>
            <w:r>
              <w:rPr>
                <w:rFonts w:ascii="仿宋_GB2312" w:hAnsi="仿宋_GB2312" w:cs="仿宋_GB2312" w:eastAsia="仿宋_GB2312"/>
                <w:sz w:val="24"/>
              </w:rPr>
              <w:t>接口</w:t>
            </w:r>
          </w:p>
          <w:p>
            <w:pPr>
              <w:pStyle w:val="null3"/>
              <w:spacing w:before="105" w:after="105"/>
              <w:ind w:firstLine="645"/>
              <w:jc w:val="both"/>
            </w:pPr>
            <w:r>
              <w:rPr>
                <w:rFonts w:ascii="仿宋_GB2312" w:hAnsi="仿宋_GB2312" w:cs="仿宋_GB2312" w:eastAsia="仿宋_GB2312"/>
                <w:sz w:val="24"/>
              </w:rPr>
              <w:t>医保福利、独生子女福利、教育附加福利及取暖费数据目前独立存储，原则上相互间使用接口进行数据交换。需设计文档中需体验模块间接口关系。</w:t>
            </w:r>
          </w:p>
          <w:p>
            <w:pPr>
              <w:pStyle w:val="null3"/>
              <w:jc w:val="both"/>
            </w:pPr>
            <w:r>
              <w:rPr>
                <w:rFonts w:ascii="仿宋_GB2312" w:hAnsi="仿宋_GB2312" w:cs="仿宋_GB2312" w:eastAsia="仿宋_GB2312"/>
                <w:sz w:val="24"/>
              </w:rPr>
              <w:t>7.</w:t>
            </w:r>
            <w:r>
              <w:rPr>
                <w:rFonts w:ascii="仿宋_GB2312" w:hAnsi="仿宋_GB2312" w:cs="仿宋_GB2312" w:eastAsia="仿宋_GB2312"/>
                <w:sz w:val="24"/>
              </w:rPr>
              <w:t>安全</w:t>
            </w:r>
          </w:p>
          <w:p>
            <w:pPr>
              <w:pStyle w:val="null3"/>
              <w:spacing w:before="105" w:after="105"/>
              <w:ind w:firstLine="645"/>
              <w:jc w:val="both"/>
            </w:pPr>
            <w:r>
              <w:rPr>
                <w:rFonts w:ascii="仿宋_GB2312" w:hAnsi="仿宋_GB2312" w:cs="仿宋_GB2312" w:eastAsia="仿宋_GB2312"/>
                <w:sz w:val="24"/>
              </w:rPr>
              <w:t>7-1、数据加密</w:t>
            </w:r>
          </w:p>
          <w:p>
            <w:pPr>
              <w:pStyle w:val="null3"/>
              <w:spacing w:before="105" w:after="105"/>
              <w:ind w:firstLine="645"/>
              <w:jc w:val="both"/>
            </w:pPr>
            <w:r>
              <w:rPr>
                <w:rFonts w:ascii="仿宋_GB2312" w:hAnsi="仿宋_GB2312" w:cs="仿宋_GB2312" w:eastAsia="仿宋_GB2312"/>
                <w:sz w:val="24"/>
              </w:rPr>
              <w:t>为保证系统数据安全，对敏感数据做转换或加密处理，特殊数据进行不可逆加密处理。</w:t>
            </w:r>
          </w:p>
          <w:tbl>
            <w:tblPr>
              <w:tblBorders>
                <w:top w:val="none" w:color="000000" w:sz="4"/>
                <w:left w:val="none" w:color="000000" w:sz="4"/>
                <w:bottom w:val="none" w:color="000000" w:sz="4"/>
                <w:right w:val="none" w:color="000000" w:sz="4"/>
                <w:insideH w:val="none"/>
                <w:insideV w:val="none"/>
              </w:tblBorders>
            </w:tblPr>
            <w:tblGrid>
              <w:gridCol w:w="498"/>
              <w:gridCol w:w="811"/>
              <w:gridCol w:w="1244"/>
            </w:tblGrid>
            <w:tr>
              <w:tc>
                <w:tcPr>
                  <w:tcW w:type="dxa" w:w="498"/>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类型</w:t>
                  </w:r>
                </w:p>
              </w:tc>
              <w:tc>
                <w:tcPr>
                  <w:tcW w:type="dxa" w:w="811"/>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要求</w:t>
                  </w:r>
                </w:p>
              </w:tc>
              <w:tc>
                <w:tcPr>
                  <w:tcW w:type="dxa" w:w="1244"/>
                  <w:tcBorders>
                    <w:top w:val="single" w:color="000000" w:sz="4"/>
                    <w:left w:val="none" w:color="000000" w:sz="4"/>
                    <w:bottom w:val="single" w:color="000000" w:sz="4"/>
                    <w:right w:val="non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方式</w:t>
                  </w:r>
                </w:p>
              </w:tc>
            </w:tr>
            <w:tr>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时间</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转换</w:t>
                  </w:r>
                </w:p>
              </w:tc>
              <w:tc>
                <w:tcPr>
                  <w:tcW w:type="dxa" w:w="1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13位时间戳</w:t>
                  </w:r>
                </w:p>
              </w:tc>
            </w:tr>
            <w:tr>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密码</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加密</w:t>
                  </w:r>
                </w:p>
              </w:tc>
              <w:tc>
                <w:tcPr>
                  <w:tcW w:type="dxa" w:w="1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32位MD5</w:t>
                  </w:r>
                </w:p>
              </w:tc>
            </w:tr>
            <w:tr>
              <w:tc>
                <w:tcPr>
                  <w:tcW w:type="dxa" w:w="4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4"/>
                    </w:rPr>
                    <w:t>敏感数据</w:t>
                  </w:r>
                </w:p>
              </w:tc>
              <w:tc>
                <w:tcPr>
                  <w:tcW w:type="dxa" w:w="8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加密</w:t>
                  </w:r>
                </w:p>
              </w:tc>
              <w:tc>
                <w:tcPr>
                  <w:tcW w:type="dxa" w:w="124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Base64</w:t>
                  </w:r>
                </w:p>
              </w:tc>
            </w:tr>
          </w:tbl>
          <w:p>
            <w:pPr>
              <w:pStyle w:val="null3"/>
              <w:spacing w:before="105" w:after="105"/>
              <w:ind w:firstLine="645"/>
              <w:jc w:val="both"/>
            </w:pPr>
            <w:r>
              <w:rPr>
                <w:rFonts w:ascii="仿宋_GB2312" w:hAnsi="仿宋_GB2312" w:cs="仿宋_GB2312" w:eastAsia="仿宋_GB2312"/>
                <w:sz w:val="24"/>
              </w:rPr>
              <w:t>7-2、通讯加密</w:t>
            </w:r>
          </w:p>
          <w:p>
            <w:pPr>
              <w:pStyle w:val="null3"/>
              <w:spacing w:before="105" w:after="105"/>
              <w:ind w:firstLine="645"/>
              <w:jc w:val="both"/>
            </w:pPr>
            <w:r>
              <w:rPr>
                <w:rFonts w:ascii="仿宋_GB2312" w:hAnsi="仿宋_GB2312" w:cs="仿宋_GB2312" w:eastAsia="仿宋_GB2312"/>
                <w:sz w:val="24"/>
              </w:rPr>
              <w:t>为保证数据通讯安全，接口通讯时需要进行数据加密处理，以保证数据的绝对安全。</w:t>
            </w:r>
          </w:p>
          <w:p>
            <w:pPr>
              <w:pStyle w:val="null3"/>
              <w:jc w:val="both"/>
            </w:pPr>
            <w:r>
              <w:rPr>
                <w:rFonts w:ascii="仿宋_GB2312" w:hAnsi="仿宋_GB2312" w:cs="仿宋_GB2312" w:eastAsia="仿宋_GB2312"/>
                <w:sz w:val="24"/>
              </w:rPr>
              <w:t>8.</w:t>
            </w:r>
            <w:r>
              <w:rPr>
                <w:rFonts w:ascii="仿宋_GB2312" w:hAnsi="仿宋_GB2312" w:cs="仿宋_GB2312" w:eastAsia="仿宋_GB2312"/>
                <w:sz w:val="24"/>
              </w:rPr>
              <w:t>系统功能规范</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1）、标准</w:t>
            </w:r>
          </w:p>
          <w:p>
            <w:pPr>
              <w:pStyle w:val="null3"/>
              <w:spacing w:before="105" w:after="105"/>
              <w:ind w:firstLine="645"/>
              <w:jc w:val="both"/>
            </w:pPr>
            <w:r>
              <w:rPr>
                <w:rFonts w:ascii="仿宋_GB2312" w:hAnsi="仿宋_GB2312" w:cs="仿宋_GB2312" w:eastAsia="仿宋_GB2312"/>
                <w:sz w:val="24"/>
              </w:rPr>
              <w:t>开发文档符合国标文档，版本自选。</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2）、系统要求</w:t>
            </w:r>
          </w:p>
          <w:tbl>
            <w:tblPr>
              <w:tblBorders>
                <w:top w:val="none" w:color="000000" w:sz="4"/>
                <w:left w:val="none" w:color="000000" w:sz="4"/>
                <w:bottom w:val="none" w:color="000000" w:sz="4"/>
                <w:right w:val="none" w:color="000000" w:sz="4"/>
                <w:insideH w:val="none"/>
                <w:insideV w:val="none"/>
              </w:tblBorders>
            </w:tblPr>
            <w:tblGrid>
              <w:gridCol w:w="654"/>
              <w:gridCol w:w="1899"/>
            </w:tblGrid>
            <w:tr>
              <w:tc>
                <w:tcPr>
                  <w:tcW w:type="dxa" w:w="654"/>
                  <w:tcBorders>
                    <w:top w:val="single" w:color="000000" w:sz="4"/>
                    <w:left w:val="none" w:color="000000" w:sz="4"/>
                    <w:bottom w:val="single" w:color="000000" w:sz="4"/>
                    <w:right w:val="singl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项目</w:t>
                  </w:r>
                </w:p>
              </w:tc>
              <w:tc>
                <w:tcPr>
                  <w:tcW w:type="dxa" w:w="1899"/>
                  <w:tcBorders>
                    <w:top w:val="single" w:color="000000" w:sz="4"/>
                    <w:left w:val="none" w:color="000000" w:sz="4"/>
                    <w:bottom w:val="single" w:color="000000" w:sz="4"/>
                    <w:right w:val="none" w:color="000000" w:sz="4"/>
                  </w:tcBorders>
                  <w:shd w:fill="BFBFBF"/>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color w:val="000000"/>
                    </w:rPr>
                    <w:t>要求</w:t>
                  </w:r>
                </w:p>
              </w:tc>
            </w:tr>
            <w:tr>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360"/>
                    <w:jc w:val="right"/>
                  </w:pPr>
                  <w:r>
                    <w:rPr>
                      <w:rFonts w:ascii="仿宋_GB2312" w:hAnsi="仿宋_GB2312" w:cs="仿宋_GB2312" w:eastAsia="仿宋_GB2312"/>
                      <w:sz w:val="24"/>
                    </w:rPr>
                    <w:t>操作系统</w:t>
                  </w:r>
                </w:p>
              </w:tc>
              <w:tc>
                <w:tcPr>
                  <w:tcW w:type="dxa" w:w="18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统信</w:t>
                  </w:r>
                  <w:r>
                    <w:rPr>
                      <w:rFonts w:ascii="仿宋_GB2312" w:hAnsi="仿宋_GB2312" w:cs="仿宋_GB2312" w:eastAsia="仿宋_GB2312"/>
                      <w:sz w:val="24"/>
                    </w:rPr>
                    <w:t>UOS V1050e及以上</w:t>
                  </w:r>
                </w:p>
              </w:tc>
            </w:tr>
            <w:tr>
              <w:tc>
                <w:tcPr>
                  <w:tcW w:type="dxa" w:w="6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ind w:firstLine="645"/>
                    <w:jc w:val="right"/>
                  </w:pPr>
                  <w:r>
                    <w:rPr>
                      <w:rFonts w:ascii="仿宋_GB2312" w:hAnsi="仿宋_GB2312" w:cs="仿宋_GB2312" w:eastAsia="仿宋_GB2312"/>
                      <w:sz w:val="24"/>
                    </w:rPr>
                    <w:t>数据库</w:t>
                  </w:r>
                </w:p>
              </w:tc>
              <w:tc>
                <w:tcPr>
                  <w:tcW w:type="dxa" w:w="189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spacing w:before="105" w:after="105"/>
                    <w:ind w:firstLine="645"/>
                    <w:jc w:val="both"/>
                  </w:pPr>
                  <w:r>
                    <w:rPr>
                      <w:rFonts w:ascii="仿宋_GB2312" w:hAnsi="仿宋_GB2312" w:cs="仿宋_GB2312" w:eastAsia="仿宋_GB2312"/>
                      <w:sz w:val="24"/>
                    </w:rPr>
                    <w:t>达梦数据库</w:t>
                  </w:r>
                  <w:r>
                    <w:rPr>
                      <w:rFonts w:ascii="仿宋_GB2312" w:hAnsi="仿宋_GB2312" w:cs="仿宋_GB2312" w:eastAsia="仿宋_GB2312"/>
                      <w:sz w:val="24"/>
                    </w:rPr>
                    <w:t>V8.4及以上</w:t>
                  </w:r>
                </w:p>
              </w:tc>
            </w:tr>
          </w:tbl>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3）、结构上的要求</w:t>
            </w:r>
          </w:p>
          <w:p>
            <w:pPr>
              <w:pStyle w:val="null3"/>
              <w:spacing w:before="105" w:after="105"/>
              <w:ind w:firstLine="645"/>
              <w:jc w:val="both"/>
            </w:pPr>
            <w:r>
              <w:rPr>
                <w:rFonts w:ascii="仿宋_GB2312" w:hAnsi="仿宋_GB2312" w:cs="仿宋_GB2312" w:eastAsia="仿宋_GB2312"/>
                <w:sz w:val="24"/>
              </w:rPr>
              <w:t>管理平台开发要求使用前后端分离技术，模块式开发。满足招标方的实际情况和未来发展要求。</w:t>
            </w:r>
          </w:p>
          <w:p>
            <w:pPr>
              <w:pStyle w:val="null3"/>
              <w:jc w:val="both"/>
            </w:pPr>
            <w:r>
              <w:rPr>
                <w:rFonts w:ascii="仿宋_GB2312" w:hAnsi="仿宋_GB2312" w:cs="仿宋_GB2312" w:eastAsia="仿宋_GB2312"/>
                <w:sz w:val="24"/>
              </w:rPr>
              <w:t>9.</w:t>
            </w:r>
            <w:r>
              <w:rPr>
                <w:rFonts w:ascii="仿宋_GB2312" w:hAnsi="仿宋_GB2312" w:cs="仿宋_GB2312" w:eastAsia="仿宋_GB2312"/>
                <w:sz w:val="24"/>
              </w:rPr>
              <w:t>服务工作</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1）、系统设计</w:t>
            </w:r>
          </w:p>
          <w:p>
            <w:pPr>
              <w:pStyle w:val="null3"/>
              <w:spacing w:before="105" w:after="105"/>
              <w:ind w:firstLine="645"/>
              <w:jc w:val="both"/>
            </w:pPr>
            <w:r>
              <w:rPr>
                <w:rFonts w:ascii="仿宋_GB2312" w:hAnsi="仿宋_GB2312" w:cs="仿宋_GB2312" w:eastAsia="仿宋_GB2312"/>
                <w:sz w:val="24"/>
              </w:rPr>
              <w:t>系统设计必须严格按照招标需求进行设计，做到设计结果符合实际工作需要。</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2）、设计文档</w:t>
            </w:r>
          </w:p>
          <w:p>
            <w:pPr>
              <w:pStyle w:val="null3"/>
              <w:spacing w:before="105" w:after="105"/>
              <w:ind w:firstLine="645"/>
              <w:jc w:val="both"/>
            </w:pPr>
            <w:r>
              <w:rPr>
                <w:rFonts w:ascii="仿宋_GB2312" w:hAnsi="仿宋_GB2312" w:cs="仿宋_GB2312" w:eastAsia="仿宋_GB2312"/>
                <w:sz w:val="24"/>
              </w:rPr>
              <w:t>设计文档是招标方检验阶段性工作成果的依据，需要提交招标方确认并存档。文档需要经过招标方评审后，方可作为下一阶段的实施依据。</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3）、项目开发要求</w:t>
            </w:r>
          </w:p>
          <w:p>
            <w:pPr>
              <w:pStyle w:val="null3"/>
              <w:spacing w:before="105" w:after="105"/>
              <w:ind w:firstLine="645"/>
              <w:jc w:val="both"/>
            </w:pPr>
            <w:r>
              <w:rPr>
                <w:rFonts w:ascii="仿宋_GB2312" w:hAnsi="仿宋_GB2312" w:cs="仿宋_GB2312" w:eastAsia="仿宋_GB2312"/>
                <w:sz w:val="24"/>
              </w:rPr>
              <w:t>对项目开发的控制直接影响项目的成败，因此中标方必须派遣有经验的软件开发技术人员实施项目开发，并严格把握项目开发过程的质量控制。</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4）、实施要求</w:t>
            </w:r>
          </w:p>
          <w:p>
            <w:pPr>
              <w:pStyle w:val="null3"/>
              <w:spacing w:before="105" w:after="105"/>
              <w:ind w:firstLine="645"/>
              <w:jc w:val="both"/>
            </w:pPr>
            <w:r>
              <w:rPr>
                <w:rFonts w:ascii="仿宋_GB2312" w:hAnsi="仿宋_GB2312" w:cs="仿宋_GB2312" w:eastAsia="仿宋_GB2312"/>
                <w:sz w:val="24"/>
              </w:rPr>
              <w:t>项目进入实施开发阶段，中标方必须协助招标方进行全过程实施开发工作。要求中标方必须与招标方密切配合，详细了解功能需求，并一一实现。中标方必须在实施开发前制定明确、切实可行的开发计划。必须分阶段提供系统的设计文档、系统开发计划、使用手册。</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5）、培训要求</w:t>
            </w:r>
          </w:p>
          <w:p>
            <w:pPr>
              <w:pStyle w:val="null3"/>
              <w:spacing w:before="105" w:after="105"/>
              <w:ind w:firstLine="645"/>
              <w:jc w:val="both"/>
            </w:pPr>
            <w:r>
              <w:rPr>
                <w:rFonts w:ascii="仿宋_GB2312" w:hAnsi="仿宋_GB2312" w:cs="仿宋_GB2312" w:eastAsia="仿宋_GB2312"/>
                <w:sz w:val="24"/>
              </w:rPr>
              <w:t>中标方必须为招标方定制专门的培训计划，培训系统管理人员以及各层次使用人员。</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6）、性能要求</w:t>
            </w:r>
          </w:p>
          <w:p>
            <w:pPr>
              <w:pStyle w:val="null3"/>
              <w:spacing w:before="105" w:after="105"/>
              <w:ind w:firstLine="645"/>
              <w:jc w:val="both"/>
            </w:pPr>
            <w:r>
              <w:rPr>
                <w:rFonts w:ascii="仿宋_GB2312" w:hAnsi="仿宋_GB2312" w:cs="仿宋_GB2312" w:eastAsia="仿宋_GB2312"/>
                <w:sz w:val="24"/>
              </w:rPr>
              <w:t>系统正式投入使用后能稳定运行，不影响正常工作需要，系统应具有良好的稳定性能，系统运行不能出现致命性错误，不允许出现程序逻辑错误和算法错误。系统运行出现错误或输入</w:t>
            </w:r>
            <w:r>
              <w:rPr>
                <w:rFonts w:ascii="仿宋_GB2312" w:hAnsi="仿宋_GB2312" w:cs="仿宋_GB2312" w:eastAsia="仿宋_GB2312"/>
                <w:sz w:val="24"/>
              </w:rPr>
              <w:t>/输出溢出时，系统不能死机。系统不能有客户端数量的限制，插件、控件的安装和使用不得和现有的安全、防毒系统冲突。系统安全机制完备，能充分保证运行、接入的安全性、可靠性。不能产生因系统设计问题或操作失误造成数据丢失。应考虑可靠的数据备份、恢复解决方案。</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7）、系统维护</w:t>
            </w:r>
          </w:p>
          <w:p>
            <w:pPr>
              <w:pStyle w:val="null3"/>
              <w:spacing w:before="105" w:after="105"/>
              <w:ind w:firstLine="645"/>
              <w:jc w:val="both"/>
            </w:pPr>
            <w:r>
              <w:rPr>
                <w:rFonts w:ascii="仿宋_GB2312" w:hAnsi="仿宋_GB2312" w:cs="仿宋_GB2312" w:eastAsia="仿宋_GB2312"/>
                <w:sz w:val="24"/>
              </w:rPr>
              <w:t>中标方必须在验收合格之日开始提供一年的免费技术支持。中标方需要提供技术支持电话，免费技术支持期间如电话支持不能解决问题的，必须保证一个工作日内现场相应时间。系统操作应该简洁方便，符合日常工作习惯。系统维护只需要保证开发部分的运行稳定，修复系统运行中出现的问题。不包含功能变更和系统功能增加。</w:t>
            </w:r>
          </w:p>
          <w:p>
            <w:pPr>
              <w:pStyle w:val="null3"/>
              <w:spacing w:before="105" w:after="105"/>
              <w:ind w:firstLine="645"/>
              <w:jc w:val="both"/>
            </w:pPr>
            <w:r>
              <w:rPr>
                <w:rFonts w:ascii="仿宋_GB2312" w:hAnsi="仿宋_GB2312" w:cs="仿宋_GB2312" w:eastAsia="仿宋_GB2312"/>
                <w:sz w:val="24"/>
              </w:rPr>
              <w:t>（</w:t>
            </w:r>
            <w:r>
              <w:rPr>
                <w:rFonts w:ascii="仿宋_GB2312" w:hAnsi="仿宋_GB2312" w:cs="仿宋_GB2312" w:eastAsia="仿宋_GB2312"/>
                <w:sz w:val="24"/>
              </w:rPr>
              <w:t>8）、代码交付</w:t>
            </w:r>
          </w:p>
          <w:p>
            <w:pPr>
              <w:pStyle w:val="null3"/>
              <w:spacing w:before="105" w:after="105"/>
              <w:ind w:firstLine="645"/>
              <w:jc w:val="both"/>
            </w:pPr>
            <w:r>
              <w:rPr>
                <w:rFonts w:ascii="仿宋_GB2312" w:hAnsi="仿宋_GB2312" w:cs="仿宋_GB2312" w:eastAsia="仿宋_GB2312"/>
                <w:sz w:val="24"/>
              </w:rPr>
              <w:t>中标方必须为招标方提供全部软件的源代码，并在招标方指定的计算机内进行编译，使用该编译生成程序进行部署服务</w:t>
            </w:r>
            <w:r>
              <w:rPr>
                <w:rFonts w:ascii="仿宋_GB2312" w:hAnsi="仿宋_GB2312" w:cs="仿宋_GB2312" w:eastAsia="仿宋_GB2312"/>
                <w:sz w:val="24"/>
              </w:rPr>
              <w:t>.</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号）、《政府采购需求管理办法》（财库〔2021〕22号）的要求进行验收。 2、本项目在成交人通知服务履约完毕后进行验收。 3、服务内容完成后先由中标人进行自检，自检合格后邀请采购人进行验收。采购人确认中标人的自检内容后，组织中标人（必要时请有关专家）进行最终验收，验收时中标人应派员参加，共同对验收结果进行确认，并承担相关责任（必要时采购人可委托具有相关资质的第三方检测机构/有专业技术能力的专家对本服务项目进行验收，由此产生的相关费用由中标人承担，需要国家法定检验部门进行检验或验收的由中标人负责联系）。 4、验收依据包括但不限于合同文本、竞争性磋商文件、响应文件。 5、验收合格后，填写验收单，并向采购人提交所有资料，以便使用单位日后管理和维护。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合同签订后预付款</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服务完毕验收合格后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弃标须知：根据市财函【2021】431号文第16条规定：供应商登记免费领取采购文件的，如不参与项目投标，应在递交投标（或响应）文件截止时间前一日以书面形式告知采购代理机构。否则，采购代理机构可以向财政部门反应情况并提供佐证。供应商一年内累计出现三次该情形，将被监管部门记录为失信行为。 2.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801；邮箱：17229130330qq.com</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残疾人福利性单位声明函 服务方案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响应文件封面 服务内容及服务邀请应答表 商务应答表 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商务应答表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资格证明文件.docx 响应文件封面 残疾人福利性单位声明函 服务方案 标的清单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供服务方案。具体包括：①技术实施细则（包括但不限于：系统平台软硬件建设方案和系统实施步骤、要点，技术方案的总体框架设计、系统体系架构、应用环境、部署模式、功能需求和实施要求）；②技术服务流程；③技术手段；④工作思路及任务（包括但不限于：系统整体技术架构、逻辑结构、系统安全，方案充分考虑采购单位实际情况和项目需求）；⑤内部管理制度；⑥难点及重点分析。 注：每具有一项得4分，最多得24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进度计划及培训方案</w:t>
            </w:r>
          </w:p>
        </w:tc>
        <w:tc>
          <w:tcPr>
            <w:tcW w:type="dxa" w:w="2492"/>
          </w:tcPr>
          <w:p>
            <w:pPr>
              <w:pStyle w:val="null3"/>
            </w:pPr>
            <w:r>
              <w:rPr>
                <w:rFonts w:ascii="仿宋_GB2312" w:hAnsi="仿宋_GB2312" w:cs="仿宋_GB2312" w:eastAsia="仿宋_GB2312"/>
              </w:rPr>
              <w:t>根据本项目特点，提供进度计划及培训方案。具体包括：①总体进度安排；②培训方案（包括但不限于：培训方式、时间、地点、人员以及培训内容）。 注：每具有一项得5分，最多得10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根据本项目特点，提供后续服务保障措施。具体包括：①后续配合服务计划；②针对采购人的服务要求能够及时响应，并提供完整的服务承诺；③后续服务进度保障措施；④后续服务质量保障。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根据本项目特点，提供安全保障及保密方案。具体包括：①安全保障制度；②保密管理制度；③特殊人员的保密措施；④应急预案及措施。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拟投入项目团队人员配备情况，包括但不限于①团队人员配置清单；②岗位职责安排；③人员管理制度。 注：每具有一项得4分，最多得12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供应商具有2022年7月以来（以合同签订时间为准）同类项目业绩，响应文件中提供合同复印件加盖供应商公章，每提供一个得1分，最高得4分。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