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版本号：ZHZB-2025-8220250811001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钟鼓楼自动化监测及研判延续项目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ZHZB-2025-82</w:t>
      </w:r>
      <w:r>
        <w:br/>
      </w:r>
      <w:r>
        <w:br/>
      </w:r>
      <w:r>
        <w:br/>
      </w:r>
    </w:p>
    <w:p>
      <w:pPr>
        <w:pStyle w:val="null3"/>
        <w:jc w:val="center"/>
        <w:outlineLvl w:val="2"/>
      </w:pPr>
      <w:r>
        <w:rPr>
          <w:rFonts w:ascii="仿宋_GB2312" w:hAnsi="仿宋_GB2312" w:cs="仿宋_GB2312" w:eastAsia="仿宋_GB2312"/>
          <w:sz w:val="28"/>
          <w:b/>
        </w:rPr>
        <w:t>西安市钟鼓楼保管所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西安市钟鼓楼保管所</w:t>
      </w:r>
      <w:r>
        <w:rPr>
          <w:rFonts w:ascii="仿宋_GB2312" w:hAnsi="仿宋_GB2312" w:cs="仿宋_GB2312" w:eastAsia="仿宋_GB2312"/>
        </w:rPr>
        <w:t>委托，拟对</w:t>
      </w:r>
      <w:r>
        <w:rPr>
          <w:rFonts w:ascii="仿宋_GB2312" w:hAnsi="仿宋_GB2312" w:cs="仿宋_GB2312" w:eastAsia="仿宋_GB2312"/>
        </w:rPr>
        <w:t>钟鼓楼自动化监测及研判延续项目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钟鼓楼自动化监测及研判延续项目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钟楼、鼓楼，是西安市的标志性建筑物，是中国现存钟鼓楼中形制最大、保存最完整的一座。1996年11月20日，国务院公布西安钟鼓楼为全国重点文物保护单位（第四批）。为了更好的保护西安钟鼓楼安全，本项目拟在西安钟鼓楼现有监测工作基础上，继续开展水平位移、沉降、土体含水率、振动等自动化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1、特定资格要求：（1）供应商的营业执照等证明文件，自然人的身份证明；(2) 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响应文件截止时间前半年内任意一个月的纳税证明或完税证明，依法免税的单位应提供相关证明材料；（5）社会保障资金缴纳证明：提供磋商响应文件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供应商须具备行政主管部门核发的工程勘察综合类甲级资质和工程测量专业甲级测绘资质； （11）供应商拟派项目负责人须具备“注册土木工程师（岩土）”或“注册测绘师”证书（12）本项目不接受联合体磋商。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西安市钟鼓楼保管所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西安市莲湖区北大街2号金钟大厦B座945室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15991386640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代理服务费收费标准：参照国家发展和改革委员会颁发的《关于进一步放开建设项目专业服务价格的通知》（发改价格〔2015〕299号），代理服务费不足伍仟元按伍仟元（¥5000.00元）收取。 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西安市钟鼓楼保管所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西安市钟鼓楼保管所</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西安市钟鼓楼保管所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按照相关规范进行验收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钟楼、鼓楼，是西安市的标志性建筑物，是中国现存钟鼓楼中形制最大、保存最完整的一座。1996年11月20日，国务院公布西安钟鼓楼为全国重点文物保护单位（第四批）。为了更好的保护西安钟鼓楼安全，本项目拟在西安钟鼓楼现有监测工作基础上，继续开展水平位移、沉降、土体含水率、振动等自动化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文物本体监测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标的名称：文物本体监测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监测目的及内容</w:t>
            </w:r>
          </w:p>
          <w:p>
            <w:pPr>
              <w:pStyle w:val="null3"/>
              <w:ind w:firstLine="420"/>
            </w:pPr>
            <w:r>
              <w:rPr>
                <w:rFonts w:ascii="仿宋_GB2312" w:hAnsi="仿宋_GB2312" w:cs="仿宋_GB2312" w:eastAsia="仿宋_GB2312"/>
                <w:sz w:val="21"/>
                <w:color w:val="000000"/>
              </w:rPr>
              <w:t>西安钟鼓楼承重木构架保存较好，局部存在木柱偏移、抱头梁下沉、顺纹开裂、厢拱错位等变形，已有监测成果表明变形量均较小，且未继续发展变化。</w:t>
            </w:r>
            <w:r>
              <w:rPr>
                <w:rFonts w:ascii="仿宋_GB2312" w:hAnsi="仿宋_GB2312" w:cs="仿宋_GB2312" w:eastAsia="仿宋_GB2312"/>
                <w:sz w:val="21"/>
                <w:color w:val="000000"/>
              </w:rPr>
              <w:t>2022</w:t>
            </w:r>
            <w:r>
              <w:rPr>
                <w:rFonts w:ascii="仿宋_GB2312" w:hAnsi="仿宋_GB2312" w:cs="仿宋_GB2312" w:eastAsia="仿宋_GB2312"/>
                <w:sz w:val="21"/>
                <w:color w:val="000000"/>
              </w:rPr>
              <w:t>年现状调查结果表明：钟楼基座东侧和北侧为中风险，南侧和西侧为低风险；鼓楼基座北侧为中风险，其余区域为低风险。钟鼓楼主要问题为汛期雨水不能够及时排出，部分渗入基座内部夯土使得夯土含水率增大，夯土层自身强度降低，而对四周墙体侧向土压力却增大，基座存在极大的安全隐患，并进一步影响其上木结构的安全。</w:t>
            </w:r>
          </w:p>
          <w:p>
            <w:pPr>
              <w:pStyle w:val="null3"/>
              <w:ind w:firstLine="420"/>
            </w:pPr>
            <w:r>
              <w:rPr>
                <w:rFonts w:ascii="仿宋_GB2312" w:hAnsi="仿宋_GB2312" w:cs="仿宋_GB2312" w:eastAsia="仿宋_GB2312"/>
                <w:sz w:val="21"/>
                <w:color w:val="000000"/>
              </w:rPr>
              <w:t>为了更好的保护西安钟鼓楼安全，本项目拟在西安钟鼓楼现有监测工作基础上，</w:t>
            </w:r>
            <w:r>
              <w:rPr>
                <w:rFonts w:ascii="仿宋_GB2312" w:hAnsi="仿宋_GB2312" w:cs="仿宋_GB2312" w:eastAsia="仿宋_GB2312"/>
                <w:sz w:val="21"/>
                <w:color w:val="000000"/>
              </w:rPr>
              <w:t>继续开展水平位移、沉降、土体含水率、振动等自动化监测</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主要工作内容如下：</w:t>
            </w:r>
          </w:p>
          <w:p>
            <w:pPr>
              <w:pStyle w:val="null3"/>
              <w:numPr>
                <w:ilvl w:val="0"/>
                <w:numId w:val="1"/>
              </w:numPr>
            </w:pPr>
            <w:r>
              <w:rPr>
                <w:rFonts w:ascii="仿宋_GB2312" w:hAnsi="仿宋_GB2312" w:cs="仿宋_GB2312" w:eastAsia="仿宋_GB2312"/>
                <w:sz w:val="21"/>
                <w:color w:val="000000"/>
              </w:rPr>
              <w:t>钟楼基座及木结构变形监测：</w:t>
            </w:r>
            <w:r>
              <w:rPr>
                <w:rFonts w:ascii="仿宋_GB2312" w:hAnsi="仿宋_GB2312" w:cs="仿宋_GB2312" w:eastAsia="仿宋_GB2312"/>
                <w:sz w:val="21"/>
                <w:color w:val="000000"/>
              </w:rPr>
              <w:t>利用现有</w:t>
            </w:r>
            <w:r>
              <w:rPr>
                <w:rFonts w:ascii="仿宋_GB2312" w:hAnsi="仿宋_GB2312" w:cs="仿宋_GB2312" w:eastAsia="仿宋_GB2312"/>
                <w:sz w:val="21"/>
                <w:color w:val="000000"/>
              </w:rPr>
              <w:t>4套监测设备，</w:t>
            </w:r>
            <w:r>
              <w:rPr>
                <w:rFonts w:ascii="仿宋_GB2312" w:hAnsi="仿宋_GB2312" w:cs="仿宋_GB2312" w:eastAsia="仿宋_GB2312"/>
                <w:sz w:val="21"/>
                <w:color w:val="000000"/>
              </w:rPr>
              <w:t>采集钟楼基座水平位移、竖向沉降、</w:t>
            </w:r>
            <w:r>
              <w:rPr>
                <w:rFonts w:ascii="仿宋_GB2312" w:hAnsi="仿宋_GB2312" w:cs="仿宋_GB2312" w:eastAsia="仿宋_GB2312"/>
                <w:sz w:val="21"/>
                <w:color w:val="000000"/>
              </w:rPr>
              <w:t>木结构位移</w:t>
            </w:r>
            <w:r>
              <w:rPr>
                <w:rFonts w:ascii="仿宋_GB2312" w:hAnsi="仿宋_GB2312" w:cs="仿宋_GB2312" w:eastAsia="仿宋_GB2312"/>
                <w:sz w:val="21"/>
                <w:color w:val="000000"/>
              </w:rPr>
              <w:t>等变形监测数据。</w:t>
            </w:r>
          </w:p>
          <w:p>
            <w:pPr>
              <w:pStyle w:val="null3"/>
              <w:numPr>
                <w:ilvl w:val="0"/>
                <w:numId w:val="1"/>
              </w:numPr>
            </w:pPr>
            <w:r>
              <w:rPr>
                <w:rFonts w:ascii="仿宋_GB2312" w:hAnsi="仿宋_GB2312" w:cs="仿宋_GB2312" w:eastAsia="仿宋_GB2312"/>
                <w:sz w:val="21"/>
                <w:color w:val="000000"/>
              </w:rPr>
              <w:t>钟楼基座内部土体含水率监测：</w:t>
            </w:r>
            <w:r>
              <w:rPr>
                <w:rFonts w:ascii="仿宋_GB2312" w:hAnsi="仿宋_GB2312" w:cs="仿宋_GB2312" w:eastAsia="仿宋_GB2312"/>
                <w:sz w:val="21"/>
                <w:color w:val="000000"/>
              </w:rPr>
              <w:t>利用现有</w:t>
            </w:r>
            <w:r>
              <w:rPr>
                <w:rFonts w:ascii="仿宋_GB2312" w:hAnsi="仿宋_GB2312" w:cs="仿宋_GB2312" w:eastAsia="仿宋_GB2312"/>
                <w:sz w:val="21"/>
                <w:color w:val="000000"/>
              </w:rPr>
              <w:t>8套监测设备，</w:t>
            </w:r>
            <w:r>
              <w:rPr>
                <w:rFonts w:ascii="仿宋_GB2312" w:hAnsi="仿宋_GB2312" w:cs="仿宋_GB2312" w:eastAsia="仿宋_GB2312"/>
                <w:sz w:val="21"/>
                <w:color w:val="000000"/>
              </w:rPr>
              <w:t>采集钟楼基座内部土体含水率监测数据，掌握基座内部土体含水率变化规律。</w:t>
            </w:r>
          </w:p>
          <w:p>
            <w:pPr>
              <w:pStyle w:val="null3"/>
              <w:numPr>
                <w:ilvl w:val="0"/>
                <w:numId w:val="1"/>
              </w:numPr>
            </w:pPr>
            <w:r>
              <w:rPr>
                <w:rFonts w:ascii="仿宋_GB2312" w:hAnsi="仿宋_GB2312" w:cs="仿宋_GB2312" w:eastAsia="仿宋_GB2312"/>
                <w:sz w:val="21"/>
                <w:color w:val="000000"/>
              </w:rPr>
              <w:t>钟楼振动监测：</w:t>
            </w:r>
            <w:r>
              <w:rPr>
                <w:rFonts w:ascii="仿宋_GB2312" w:hAnsi="仿宋_GB2312" w:cs="仿宋_GB2312" w:eastAsia="仿宋_GB2312"/>
                <w:sz w:val="21"/>
                <w:color w:val="000000"/>
              </w:rPr>
              <w:t>利用现有</w:t>
            </w:r>
            <w:r>
              <w:rPr>
                <w:rFonts w:ascii="仿宋_GB2312" w:hAnsi="仿宋_GB2312" w:cs="仿宋_GB2312" w:eastAsia="仿宋_GB2312"/>
                <w:sz w:val="21"/>
                <w:color w:val="000000"/>
              </w:rPr>
              <w:t>2套监测设备，</w:t>
            </w:r>
            <w:r>
              <w:rPr>
                <w:rFonts w:ascii="仿宋_GB2312" w:hAnsi="仿宋_GB2312" w:cs="仿宋_GB2312" w:eastAsia="仿宋_GB2312"/>
                <w:sz w:val="21"/>
                <w:color w:val="000000"/>
              </w:rPr>
              <w:t>采集钟楼基座顶部、木结构承重柱中上部振动监测数据，掌握地面交通、地铁等环境影响下基座及木结构的振动响应情况。</w:t>
            </w:r>
          </w:p>
          <w:p>
            <w:pPr>
              <w:pStyle w:val="null3"/>
              <w:numPr>
                <w:ilvl w:val="0"/>
                <w:numId w:val="1"/>
              </w:numPr>
            </w:pPr>
            <w:r>
              <w:rPr>
                <w:rFonts w:ascii="仿宋_GB2312" w:hAnsi="仿宋_GB2312" w:cs="仿宋_GB2312" w:eastAsia="仿宋_GB2312"/>
                <w:sz w:val="21"/>
                <w:color w:val="000000"/>
              </w:rPr>
              <w:t>鼓楼基座及木结构变形监测：</w:t>
            </w:r>
            <w:r>
              <w:rPr>
                <w:rFonts w:ascii="仿宋_GB2312" w:hAnsi="仿宋_GB2312" w:cs="仿宋_GB2312" w:eastAsia="仿宋_GB2312"/>
                <w:sz w:val="21"/>
                <w:color w:val="000000"/>
              </w:rPr>
              <w:t>利用现有</w:t>
            </w:r>
            <w:r>
              <w:rPr>
                <w:rFonts w:ascii="仿宋_GB2312" w:hAnsi="仿宋_GB2312" w:cs="仿宋_GB2312" w:eastAsia="仿宋_GB2312"/>
                <w:sz w:val="21"/>
                <w:color w:val="000000"/>
              </w:rPr>
              <w:t>4套监测设备，</w:t>
            </w:r>
            <w:r>
              <w:rPr>
                <w:rFonts w:ascii="仿宋_GB2312" w:hAnsi="仿宋_GB2312" w:cs="仿宋_GB2312" w:eastAsia="仿宋_GB2312"/>
                <w:sz w:val="21"/>
                <w:color w:val="000000"/>
              </w:rPr>
              <w:t>采集鼓楼基座水平位移、竖向沉降</w:t>
            </w:r>
            <w:r>
              <w:rPr>
                <w:rFonts w:ascii="仿宋_GB2312" w:hAnsi="仿宋_GB2312" w:cs="仿宋_GB2312" w:eastAsia="仿宋_GB2312"/>
                <w:sz w:val="21"/>
                <w:color w:val="000000"/>
              </w:rPr>
              <w:t>、木结构位移</w:t>
            </w:r>
            <w:r>
              <w:rPr>
                <w:rFonts w:ascii="仿宋_GB2312" w:hAnsi="仿宋_GB2312" w:cs="仿宋_GB2312" w:eastAsia="仿宋_GB2312"/>
                <w:sz w:val="21"/>
                <w:color w:val="000000"/>
              </w:rPr>
              <w:t>等变形监测数据。</w:t>
            </w:r>
          </w:p>
          <w:p>
            <w:pPr>
              <w:pStyle w:val="null3"/>
              <w:numPr>
                <w:ilvl w:val="0"/>
                <w:numId w:val="1"/>
              </w:numPr>
            </w:pPr>
            <w:r>
              <w:rPr>
                <w:rFonts w:ascii="仿宋_GB2312" w:hAnsi="仿宋_GB2312" w:cs="仿宋_GB2312" w:eastAsia="仿宋_GB2312"/>
                <w:sz w:val="21"/>
                <w:color w:val="000000"/>
              </w:rPr>
              <w:t>鼓楼振动监测：</w:t>
            </w:r>
            <w:r>
              <w:rPr>
                <w:rFonts w:ascii="仿宋_GB2312" w:hAnsi="仿宋_GB2312" w:cs="仿宋_GB2312" w:eastAsia="仿宋_GB2312"/>
                <w:sz w:val="21"/>
                <w:color w:val="000000"/>
              </w:rPr>
              <w:t>利用现有</w:t>
            </w:r>
            <w:r>
              <w:rPr>
                <w:rFonts w:ascii="仿宋_GB2312" w:hAnsi="仿宋_GB2312" w:cs="仿宋_GB2312" w:eastAsia="仿宋_GB2312"/>
                <w:sz w:val="21"/>
                <w:color w:val="000000"/>
              </w:rPr>
              <w:t>2套监测设备，</w:t>
            </w:r>
            <w:r>
              <w:rPr>
                <w:rFonts w:ascii="仿宋_GB2312" w:hAnsi="仿宋_GB2312" w:cs="仿宋_GB2312" w:eastAsia="仿宋_GB2312"/>
                <w:sz w:val="21"/>
                <w:color w:val="000000"/>
              </w:rPr>
              <w:t>采集鼓楼基座顶部、木结构承重柱中上部振动监测数据，掌握地面交通、地铁等环境影响下基座及木结构的振动响应情况。</w:t>
            </w:r>
          </w:p>
          <w:p>
            <w:pPr>
              <w:pStyle w:val="null3"/>
              <w:numPr>
                <w:ilvl w:val="0"/>
                <w:numId w:val="1"/>
              </w:numPr>
            </w:pPr>
            <w:r>
              <w:rPr>
                <w:rFonts w:ascii="仿宋_GB2312" w:hAnsi="仿宋_GB2312" w:cs="仿宋_GB2312" w:eastAsia="仿宋_GB2312"/>
                <w:sz w:val="21"/>
                <w:color w:val="000000"/>
              </w:rPr>
              <w:t>钟楼、鼓楼人工巡查：开展人工巡查</w:t>
            </w:r>
            <w:r>
              <w:rPr>
                <w:rFonts w:ascii="仿宋_GB2312" w:hAnsi="仿宋_GB2312" w:cs="仿宋_GB2312" w:eastAsia="仿宋_GB2312"/>
                <w:sz w:val="21"/>
                <w:color w:val="000000"/>
              </w:rPr>
              <w:t>5次</w:t>
            </w:r>
            <w:r>
              <w:rPr>
                <w:rFonts w:ascii="仿宋_GB2312" w:hAnsi="仿宋_GB2312" w:cs="仿宋_GB2312" w:eastAsia="仿宋_GB2312"/>
                <w:sz w:val="21"/>
                <w:color w:val="000000"/>
              </w:rPr>
              <w:t>，检查文物本体、周边环境、监测设备设施是否存在异常。</w:t>
            </w:r>
          </w:p>
          <w:p>
            <w:pPr>
              <w:pStyle w:val="null3"/>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、监测方案编制依据</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《中华人民共和国文物保护法》；</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《中国文物古迹保护准则》；</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《陕西省文物保护管理条例》；</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《西安市不可移动文物保护条例》</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《工程测量标准》（</w:t>
            </w:r>
            <w:r>
              <w:rPr>
                <w:rFonts w:ascii="仿宋_GB2312" w:hAnsi="仿宋_GB2312" w:cs="仿宋_GB2312" w:eastAsia="仿宋_GB2312"/>
                <w:sz w:val="21"/>
                <w:color w:val="000000"/>
              </w:rPr>
              <w:t>GB50026-2020</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《建筑变形测量规范》（</w:t>
            </w:r>
            <w:r>
              <w:rPr>
                <w:rFonts w:ascii="仿宋_GB2312" w:hAnsi="仿宋_GB2312" w:cs="仿宋_GB2312" w:eastAsia="仿宋_GB2312"/>
                <w:sz w:val="21"/>
                <w:color w:val="000000"/>
              </w:rPr>
              <w:t>JGJ8-2016</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国家或行业其他相关规范、强制性标准。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一、监测工程量</w:t>
            </w:r>
          </w:p>
          <w:tbl>
            <w:tblPr>
              <w:tblInd w:type="dxa" w:w="120"/>
              <w:tblBorders>
                <w:top w:val="none" w:color="000000" w:sz="4"/>
                <w:left w:val="none" w:color="000000" w:sz="4"/>
                <w:bottom w:val="none" w:color="000000" w:sz="4"/>
                <w:right w:val="none" w:color="000000" w:sz="4"/>
                <w:insideH w:val="none"/>
                <w:insideV w:val="none"/>
              </w:tblBorders>
            </w:tblPr>
            <w:tblGrid>
              <w:gridCol w:w="190"/>
              <w:gridCol w:w="277"/>
              <w:gridCol w:w="516"/>
              <w:gridCol w:w="440"/>
              <w:gridCol w:w="445"/>
              <w:gridCol w:w="684"/>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序号</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对象</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内容</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计量单位</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预估工作量</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备注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钟楼</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变形监测</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点</w:t>
                  </w: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58</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利用现有监测设备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277"/>
                  <w:vMerge/>
                  <w:tcBorders>
                    <w:top w:val="non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土体含水率</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点</w:t>
                  </w: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58</w:t>
                  </w:r>
                </w:p>
              </w:tc>
              <w:tc>
                <w:tcPr>
                  <w:tcW w:type="dxa" w:w="684"/>
                  <w:vMerge/>
                  <w:tcBorders>
                    <w:top w:val="none" w:color="000000" w:sz="4"/>
                    <w:left w:val="single" w:color="000000" w:sz="4"/>
                    <w:bottom w:val="single" w:color="000000" w:sz="4"/>
                    <w:right w:val="single" w:color="000000" w:sz="4"/>
                  </w:tcBorders>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w:t>
                  </w:r>
                </w:p>
              </w:tc>
              <w:tc>
                <w:tcPr>
                  <w:tcW w:type="dxa" w:w="277"/>
                  <w:vMerge/>
                  <w:tcBorders>
                    <w:top w:val="non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振动</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点</w:t>
                  </w: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58</w:t>
                  </w:r>
                </w:p>
              </w:tc>
              <w:tc>
                <w:tcPr>
                  <w:tcW w:type="dxa" w:w="684"/>
                  <w:vMerge/>
                  <w:tcBorders>
                    <w:top w:val="none" w:color="000000" w:sz="4"/>
                    <w:left w:val="single" w:color="000000" w:sz="4"/>
                    <w:bottom w:val="single" w:color="000000" w:sz="4"/>
                    <w:right w:val="single" w:color="000000" w:sz="4"/>
                  </w:tcBorders>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w:t>
                  </w:r>
                </w:p>
              </w:tc>
              <w:tc>
                <w:tcPr>
                  <w:tcW w:type="dxa" w:w="277"/>
                  <w:vMerge/>
                  <w:tcBorders>
                    <w:top w:val="non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人工巡查</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通过目视、敲击等手段检查本体、监测设备设施、周边环境是否存在异常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w:t>
                  </w:r>
                </w:p>
              </w:tc>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鼓楼</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变形监测</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点</w:t>
                  </w: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58</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利用现有监测设备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p>
              </w:tc>
              <w:tc>
                <w:tcPr>
                  <w:tcW w:type="dxa" w:w="277"/>
                  <w:vMerge/>
                  <w:tcBorders>
                    <w:top w:val="non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振动</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点</w:t>
                  </w: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58</w:t>
                  </w:r>
                </w:p>
              </w:tc>
              <w:tc>
                <w:tcPr>
                  <w:tcW w:type="dxa" w:w="684"/>
                  <w:vMerge/>
                  <w:tcBorders>
                    <w:top w:val="none" w:color="000000" w:sz="4"/>
                    <w:left w:val="single" w:color="000000" w:sz="4"/>
                    <w:bottom w:val="single" w:color="000000" w:sz="4"/>
                    <w:right w:val="single" w:color="000000" w:sz="4"/>
                  </w:tcBorders>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w:t>
                  </w:r>
                </w:p>
              </w:tc>
              <w:tc>
                <w:tcPr>
                  <w:tcW w:type="dxa" w:w="277"/>
                  <w:vMerge/>
                  <w:tcBorders>
                    <w:top w:val="non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人工巡查</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次</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通过目视、敲击等手段检查本体、监测设备设施、周边环境是否存在异常</w:t>
                  </w:r>
                </w:p>
              </w:tc>
            </w:tr>
          </w:tbl>
          <w:p>
            <w:pPr>
              <w:pStyle w:val="null3"/>
              <w:spacing w:before="150"/>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、监测成果</w:t>
            </w:r>
            <w:r>
              <w:rPr>
                <w:rFonts w:ascii="仿宋_GB2312" w:hAnsi="仿宋_GB2312" w:cs="仿宋_GB2312" w:eastAsia="仿宋_GB2312"/>
                <w:sz w:val="21"/>
                <w:b/>
                <w:color w:val="000000"/>
              </w:rPr>
              <w:t>提交</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）在</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端以云平台形式展示自动化监测数据，同时可利用小程序进行快速查询测点及曲线变化情况。</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监测项目执行过程中按月度编制并提交监测月报。</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3）所有监</w:t>
            </w:r>
            <w:r>
              <w:rPr>
                <w:rFonts w:ascii="仿宋_GB2312" w:hAnsi="仿宋_GB2312" w:cs="仿宋_GB2312" w:eastAsia="仿宋_GB2312"/>
                <w:sz w:val="21"/>
                <w:color w:val="000000"/>
              </w:rPr>
              <w:t>测工作结束后，出具最终监测成果报告，报告包含现场监测资料、计算分析资料、监测曲线、图表、文字报告、</w:t>
            </w:r>
            <w:r>
              <w:rPr>
                <w:rFonts w:ascii="仿宋_GB2312" w:hAnsi="仿宋_GB2312" w:cs="仿宋_GB2312" w:eastAsia="仿宋_GB2312"/>
                <w:sz w:val="21"/>
                <w:color w:val="000000"/>
              </w:rPr>
              <w:t>人工巡查记录</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并将全部监测资料整理归档</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1"/>
                <w:b/>
                <w:color w:val="000000"/>
              </w:rPr>
              <w:t>三、商务要求</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服务期限：签订合同后至</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w:t>
            </w:r>
            <w:r>
              <w:rPr>
                <w:rFonts w:ascii="仿宋_GB2312" w:hAnsi="仿宋_GB2312" w:cs="仿宋_GB2312" w:eastAsia="仿宋_GB2312"/>
                <w:sz w:val="21"/>
                <w:color w:val="000000"/>
              </w:rPr>
              <w:t>月</w:t>
            </w:r>
            <w:r>
              <w:rPr>
                <w:rFonts w:ascii="仿宋_GB2312" w:hAnsi="仿宋_GB2312" w:cs="仿宋_GB2312" w:eastAsia="仿宋_GB2312"/>
                <w:sz w:val="21"/>
                <w:color w:val="000000"/>
              </w:rPr>
              <w:t>31</w:t>
            </w:r>
            <w:r>
              <w:rPr>
                <w:rFonts w:ascii="仿宋_GB2312" w:hAnsi="仿宋_GB2312" w:cs="仿宋_GB2312" w:eastAsia="仿宋_GB2312"/>
                <w:sz w:val="21"/>
                <w:color w:val="000000"/>
              </w:rPr>
              <w:t>日。</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监测时间及频次：本项目变形监测、含水率监测频率不少于一周一次；振动监测频率不少于一周一次，一次持续时间为</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分钟；人工巡查不少于一月一次。</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项目实施地点：采购人指定地点；</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质量要求：符合国家（或行业）规定标准；</w:t>
            </w:r>
          </w:p>
          <w:p>
            <w:pPr>
              <w:pStyle w:val="null3"/>
              <w:ind w:firstLine="420"/>
            </w:pPr>
            <w:r>
              <w:rPr>
                <w:rFonts w:ascii="仿宋_GB2312" w:hAnsi="仿宋_GB2312" w:cs="仿宋_GB2312" w:eastAsia="仿宋_GB2312"/>
                <w:sz w:val="21"/>
                <w:color w:val="000000"/>
              </w:rPr>
              <w:t>5.</w:t>
            </w:r>
            <w:r>
              <w:rPr>
                <w:rFonts w:ascii="仿宋_GB2312" w:hAnsi="仿宋_GB2312" w:cs="仿宋_GB2312" w:eastAsia="仿宋_GB2312"/>
                <w:sz w:val="21"/>
                <w:color w:val="000000"/>
              </w:rPr>
              <w:t>付款方式</w:t>
            </w:r>
          </w:p>
          <w:p>
            <w:pPr>
              <w:pStyle w:val="null3"/>
              <w:ind w:firstLine="630"/>
            </w:pPr>
            <w:r>
              <w:rPr>
                <w:rFonts w:ascii="仿宋_GB2312" w:hAnsi="仿宋_GB2312" w:cs="仿宋_GB2312" w:eastAsia="仿宋_GB2312"/>
                <w:sz w:val="21"/>
                <w:color w:val="000000"/>
              </w:rPr>
              <w:t>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w:t>
            </w:r>
            <w:r>
              <w:rPr>
                <w:rFonts w:ascii="仿宋_GB2312" w:hAnsi="仿宋_GB2312" w:cs="仿宋_GB2312" w:eastAsia="仿宋_GB2312"/>
                <w:sz w:val="21"/>
                <w:color w:val="000000"/>
              </w:rPr>
              <w:t>乙方提供等额正规发票，甲方收到发票后，达到付款条件起</w:t>
            </w:r>
            <w:r>
              <w:rPr>
                <w:rFonts w:ascii="仿宋_GB2312" w:hAnsi="仿宋_GB2312" w:cs="仿宋_GB2312" w:eastAsia="仿宋_GB2312"/>
                <w:sz w:val="21"/>
                <w:color w:val="000000"/>
              </w:rPr>
              <w:t>30日内，支付合同总金额的</w:t>
            </w:r>
            <w:r>
              <w:rPr>
                <w:rFonts w:ascii="仿宋_GB2312" w:hAnsi="仿宋_GB2312" w:cs="仿宋_GB2312" w:eastAsia="仿宋_GB2312"/>
                <w:sz w:val="21"/>
                <w:color w:val="000000"/>
              </w:rPr>
              <w:t>60%</w:t>
            </w:r>
            <w:r>
              <w:rPr>
                <w:rFonts w:ascii="仿宋_GB2312" w:hAnsi="仿宋_GB2312" w:cs="仿宋_GB2312" w:eastAsia="仿宋_GB2312"/>
                <w:sz w:val="21"/>
                <w:color w:val="000000"/>
              </w:rPr>
              <w:t>；</w:t>
            </w:r>
          </w:p>
          <w:p>
            <w:pPr>
              <w:pStyle w:val="null3"/>
              <w:ind w:firstLine="630"/>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本合同约定的全部监测工作结束后，在乙方提供全部工作成果并验收合格后，乙方提供等额正规发票，甲方收到发票后，达到付款条件起</w:t>
            </w:r>
            <w:r>
              <w:rPr>
                <w:rFonts w:ascii="仿宋_GB2312" w:hAnsi="仿宋_GB2312" w:cs="仿宋_GB2312" w:eastAsia="仿宋_GB2312"/>
                <w:sz w:val="21"/>
                <w:color w:val="000000"/>
              </w:rPr>
              <w:t>30日内，支付合同总金额的4</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p>
          <w:p>
            <w:pPr>
              <w:pStyle w:val="null3"/>
              <w:ind w:firstLine="630"/>
            </w:pPr>
            <w:r>
              <w:rPr>
                <w:rFonts w:ascii="仿宋_GB2312" w:hAnsi="仿宋_GB2312" w:cs="仿宋_GB2312" w:eastAsia="仿宋_GB2312"/>
                <w:sz w:val="21"/>
                <w:color w:val="000000"/>
              </w:rPr>
              <w:t>6.</w:t>
            </w:r>
            <w:r>
              <w:rPr>
                <w:rFonts w:ascii="仿宋_GB2312" w:hAnsi="仿宋_GB2312" w:cs="仿宋_GB2312" w:eastAsia="仿宋_GB2312"/>
                <w:sz w:val="21"/>
                <w:color w:val="000000"/>
              </w:rPr>
              <w:t>项目检验与验收</w:t>
            </w:r>
          </w:p>
          <w:p>
            <w:pPr>
              <w:pStyle w:val="null3"/>
              <w:ind w:firstLine="630"/>
            </w:pPr>
            <w:r>
              <w:rPr>
                <w:rFonts w:ascii="仿宋_GB2312" w:hAnsi="仿宋_GB2312" w:cs="仿宋_GB2312" w:eastAsia="仿宋_GB2312"/>
                <w:sz w:val="21"/>
                <w:color w:val="000000"/>
              </w:rPr>
              <w:t>按照相关规范进行验收。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按照相关规范进行验收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合同签订后，乙方提供等额正规发票，甲方收到发票后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本合同约定的全部监测工作结束后，在乙方提供全部工作成果并验收合格后，乙方提供等额正规发票，甲方收到发票后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三、签名是指手写签名或者加盖名章(含电子)，盖章是指加盖单位印章。四、本项目所属行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（1）供应商的营业执照等证明文件，自然人的身份证明；(2) 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响应文件截止时间前半年内任意一个月的纳税证明或完税证明，依法免税的单位应提供相关证明材料；（5）社会保障资金缴纳证明：提供磋商响应文件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供应商须具备行政主管部门核发的工程勘察综合类甲级资质和工程测量专业甲级测绘资质； （11）供应商拟派项目负责人须具备“注册土木工程师（岩土）”或“注册测绘师”证书（12）本项目不接受联合体磋商。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符合磋商文件中的要求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报价表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无磋商文件规定的其他无效情形</w:t>
            </w:r>
          </w:p>
        </w:tc>
        <w:tc>
          <w:tcPr>
            <w:tcW w:type="dxa" w:w="1661"/>
          </w:tcPr>
          <w:p>
            <w:pPr>
              <w:pStyle w:val="null3"/>
            </w:pPr>
            <w:r>
              <w:rPr>
                <w:rFonts w:ascii="仿宋_GB2312" w:hAnsi="仿宋_GB2312" w:cs="仿宋_GB2312" w:eastAsia="仿宋_GB2312"/>
              </w:rPr>
              <w:t>响应文件封面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对本项目的理解程度</w:t>
            </w:r>
          </w:p>
        </w:tc>
        <w:tc>
          <w:tcPr>
            <w:tcW w:type="dxa" w:w="2492"/>
          </w:tcPr>
          <w:p>
            <w:pPr>
              <w:pStyle w:val="null3"/>
            </w:pPr>
            <w:r>
              <w:rPr>
                <w:rFonts w:ascii="仿宋_GB2312" w:hAnsi="仿宋_GB2312" w:cs="仿宋_GB2312" w:eastAsia="仿宋_GB2312"/>
              </w:rPr>
              <w:t>对项目的监测对象的背景，监测目的及内容的理解认识是否深刻、准确进行赋分。 1.对项目的监测对象的背景，监测目的及内容的理解认识深刻、准确得（8-10）分； 2.对项目的监测对象的背景，监测目的及内容的理解认识较深刻、较准确得（5-8）分； 3.对项目的监测对象的背景，监测目的及内容的理解认识一般得（2-5）分； 4.对项目的监测对象的背景，监测目的及内容的理解认识较差得（0-2）分。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根据监测内容的全面性、监测方法的合理性、与本项目采购需求的符合性进行打分； 1.方案内容全面、监测方法科学合理、针对性强，满足项目需求得（10-15）分； 2.方案内容较全面、监测方法较合理、针对性较强，基本符合项目要求得（5-10）分； 3.方案内容、监测方法、针对性一般得（0-5）分。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监测预警机制</w:t>
            </w:r>
          </w:p>
        </w:tc>
        <w:tc>
          <w:tcPr>
            <w:tcW w:type="dxa" w:w="2492"/>
          </w:tcPr>
          <w:p>
            <w:pPr>
              <w:pStyle w:val="null3"/>
            </w:pPr>
            <w:r>
              <w:rPr>
                <w:rFonts w:ascii="仿宋_GB2312" w:hAnsi="仿宋_GB2312" w:cs="仿宋_GB2312" w:eastAsia="仿宋_GB2312"/>
              </w:rPr>
              <w:t>监测预警机制满足采购需求，能够建立监测预警机制，根据供应商对监测预警机制的响应程度赋（0-5）分。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供应商针对本项目保密保证措施、防控措施，有具体的方法及承诺， 1.保密措施具有针对性，保密承诺内容详细齐全，提供保密承诺或协议书，得（4-7）分； 2.保密措施缺乏针对性，保密承诺内容简单，提供保密承诺或协议书，得（2-4）分； 3.保密措施简单笼统、缺乏针对性，保密承诺有待优化，提供保密承诺或协议书，得（0-2）分。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对项目重点、难点分析</w:t>
            </w:r>
          </w:p>
        </w:tc>
        <w:tc>
          <w:tcPr>
            <w:tcW w:type="dxa" w:w="2492"/>
          </w:tcPr>
          <w:p>
            <w:pPr>
              <w:pStyle w:val="null3"/>
            </w:pPr>
            <w:r>
              <w:rPr>
                <w:rFonts w:ascii="仿宋_GB2312" w:hAnsi="仿宋_GB2312" w:cs="仿宋_GB2312" w:eastAsia="仿宋_GB2312"/>
              </w:rPr>
              <w:t>对项目重点、难点分析是否全面、合理、准确、透彻，应对措施是否得当、具体、有效。 1.项目重点、难点分析全面、合理、准确、透彻，应对措施得当、具体、有效的得（6-10）分； 2.项目重点、难点分析较全面、合理、准确、透彻，应对措施较得当、具体、有效的得（3-6）分； 3.项目重点、难点分析基本全面、合理、准确、透彻，应对措施基本得当、具体、有效得（0-3）分。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监测成果形式及报告承诺</w:t>
            </w:r>
          </w:p>
        </w:tc>
        <w:tc>
          <w:tcPr>
            <w:tcW w:type="dxa" w:w="2492"/>
          </w:tcPr>
          <w:p>
            <w:pPr>
              <w:pStyle w:val="null3"/>
            </w:pPr>
            <w:r>
              <w:rPr>
                <w:rFonts w:ascii="仿宋_GB2312" w:hAnsi="仿宋_GB2312" w:cs="仿宋_GB2312" w:eastAsia="仿宋_GB2312"/>
              </w:rPr>
              <w:t>供应商针对本项目提供监测成果形式及报告承诺，根据响应程度得0-6分。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提供针对本项目的服务质量保证承诺（承诺内容包括：健全的质量控制体系、质量保证措施、质量控制目标的合理分解，并有质量目标无法实现时的认罚承诺）。 1.承诺内容全面，合理可行，针对性强，得（4-7）分； 2.承诺内容较全面，可行，针对性一般，得（2-4）分； 3.承诺内容简单，内容粗略，针对性欠缺，得（0-2）分。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对于项目实施过程中出现突发状况，有具体可行的响应时限和应对措施，能保证项目质量并按时提交项目成果，并承诺积极按照采购人提出的要求或意见改进工作，确保项目顺利实施， 1.承诺内容详细合理可得（4-7）分； 2.承诺内容较详细较合理得（2-4）分； 3.承诺内容笼统简单得（0-2）分。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1.人员组织架构完整，岗位设置合理、明确，技术人员专业性、经验性强，且对本项目有针对性，得（5-8）分； 2.人员组织架构有待优化，技术人员岗位设置基本合理，人员专业性、经验性一般，得（2-5）分； 3.人员组织架构不完整，人员岗位设置紧张，技术人员专业性、经验性欠缺，得（0-2）分。 备注：以上人员提供相关证书复印件并加盖公章。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1.项目负责人具有相关专业工程师职称计1分，具有相关专业高级工程师及以上技术职称计3分，未提供不计分。 2.项目负责人具有本科学历的，得1分；硕士研究生及以上学历的，得2分，未提供不得分。 注：提供证明材料复印件并加盖公章，需同时提供近三个月本单位社保证明。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供应商提供近三年（2022年7月至今）已完成类似项目业绩（附合同复印件并加盖供应商公章），每提供一个业绩得2分，满分10分。 （评审材料：合同复印件，时间以合同签订日期为准，须在响应文件中附有加盖公章的复印件，未按要求提供不得分）。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