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版本号：SXWZ2025ZB-SQXJ-19820250808001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预报预警信息服务项目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SXWZ2025ZB-SQXJ-198</w:t>
      </w:r>
      <w:r>
        <w:br/>
      </w:r>
      <w:r>
        <w:br/>
      </w:r>
      <w:r>
        <w:br/>
      </w:r>
    </w:p>
    <w:p>
      <w:pPr>
        <w:pStyle w:val="null3"/>
        <w:jc w:val="center"/>
        <w:outlineLvl w:val="2"/>
      </w:pPr>
      <w:r>
        <w:rPr>
          <w:rFonts w:ascii="仿宋_GB2312" w:hAnsi="仿宋_GB2312" w:cs="仿宋_GB2312" w:eastAsia="仿宋_GB2312"/>
          <w:sz w:val="28"/>
          <w:b/>
        </w:rPr>
        <w:t>西安市气象局</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西安市气象局</w:t>
      </w:r>
      <w:r>
        <w:rPr>
          <w:rFonts w:ascii="仿宋_GB2312" w:hAnsi="仿宋_GB2312" w:cs="仿宋_GB2312" w:eastAsia="仿宋_GB2312"/>
        </w:rPr>
        <w:t>委托，拟对</w:t>
      </w:r>
      <w:r>
        <w:rPr>
          <w:rFonts w:ascii="仿宋_GB2312" w:hAnsi="仿宋_GB2312" w:cs="仿宋_GB2312" w:eastAsia="仿宋_GB2312"/>
        </w:rPr>
        <w:t>预报预警信息服务项目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SXWZ2025ZB-SQXJ-198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预报预警信息服务项目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预报预警信息服务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3、税收缴纳证明：供应商提供2025年1月至今已缴纳的至少一个月纳税证明或完税证明，依法免税的单位应提供相关证明材料（以税款所属期为准）；</w:t>
      </w:r>
    </w:p>
    <w:p>
      <w:pPr>
        <w:pStyle w:val="null3"/>
      </w:pPr>
      <w:r>
        <w:rPr>
          <w:rFonts w:ascii="仿宋_GB2312" w:hAnsi="仿宋_GB2312" w:cs="仿宋_GB2312" w:eastAsia="仿宋_GB2312"/>
        </w:rPr>
        <w:t>4、财务状况证明：提供经会计师事务所审计的2024年财务审计报告或在开标日期前六个月内其基本开户银行出具的资信证明；注：财会[2023]15号文《财政部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 2023 年及以后的审计报告需附验证码；</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6、授权书：非法定代表人参加投标的，须提供法定代表人授权委托书及被授权人身份证复印件加盖公章；法定代表人参加投标时,只需提供法定代表人身份证复印件加盖公章；</w:t>
      </w:r>
    </w:p>
    <w:p>
      <w:pPr>
        <w:pStyle w:val="null3"/>
      </w:pPr>
      <w:r>
        <w:rPr>
          <w:rFonts w:ascii="仿宋_GB2312" w:hAnsi="仿宋_GB2312" w:cs="仿宋_GB2312" w:eastAsia="仿宋_GB2312"/>
        </w:rPr>
        <w:t>7、投标人非采购人单位职工及家属投资开办声明：投标人非采购人单位职工及家属投资开办，其法人、股东和经营管理人员非采购人单位职工及家属；</w:t>
      </w:r>
    </w:p>
    <w:p>
      <w:pPr>
        <w:pStyle w:val="null3"/>
      </w:pPr>
      <w:r>
        <w:rPr>
          <w:rFonts w:ascii="仿宋_GB2312" w:hAnsi="仿宋_GB2312" w:cs="仿宋_GB2312" w:eastAsia="仿宋_GB2312"/>
        </w:rPr>
        <w:t>8、非联合体声明：本项目不接受联合体磋商。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西安市气象局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西安市未央路102-1号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029-86251034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西安市高新区唐延路旺座现代城C座25楼2502室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黄茜 陈先锋 邱荷婷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029-88319689-8003/8005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采购包1：1,164,000.00元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代理服务费收费标准：参照国家计委关于《招标代理服务收费管理暂行办法》（计价格[2002]1980号）、《国家发展改革委办公厅关于招标代理服务收费有关问题的通知》（发改价格[2003]857号）收取。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西安市气象局</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西安市气象局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西安市气象局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联系人：黄茜 陈先锋 邱荷婷</w:t>
      </w:r>
    </w:p>
    <w:p>
      <w:pPr>
        <w:pStyle w:val="null3"/>
      </w:pPr>
      <w:r>
        <w:rPr>
          <w:rFonts w:ascii="仿宋_GB2312" w:hAnsi="仿宋_GB2312" w:cs="仿宋_GB2312" w:eastAsia="仿宋_GB2312"/>
        </w:rPr>
        <w:t>联系电话：029-88319689-8003</w:t>
      </w:r>
    </w:p>
    <w:p>
      <w:pPr>
        <w:pStyle w:val="null3"/>
      </w:pPr>
      <w:r>
        <w:rPr>
          <w:rFonts w:ascii="仿宋_GB2312" w:hAnsi="仿宋_GB2312" w:cs="仿宋_GB2312" w:eastAsia="仿宋_GB2312"/>
        </w:rPr>
        <w:t>地址：西安市高新区唐延路旺座现代城C座25楼2502室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预报预警信息服务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1,164,000.00</w:t>
      </w:r>
    </w:p>
    <w:p>
      <w:pPr>
        <w:pStyle w:val="null3"/>
      </w:pPr>
      <w:r>
        <w:rPr>
          <w:rFonts w:ascii="仿宋_GB2312" w:hAnsi="仿宋_GB2312" w:cs="仿宋_GB2312" w:eastAsia="仿宋_GB2312"/>
        </w:rPr>
        <w:t>采购包最高限价（元）: 1,164,000.00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1164000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标的名称：1164000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项目名称：</w:t>
            </w:r>
            <w:r>
              <w:rPr>
                <w:rFonts w:ascii="仿宋_GB2312" w:hAnsi="仿宋_GB2312" w:cs="仿宋_GB2312" w:eastAsia="仿宋_GB2312"/>
                <w:sz w:val="24"/>
              </w:rPr>
              <w:t>预报预警信息服务项目</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rPr>
              <w:t>采购内容：</w:t>
            </w:r>
          </w:p>
          <w:p>
            <w:pPr>
              <w:pStyle w:val="null3"/>
              <w:jc w:val="left"/>
            </w:pPr>
            <w:r>
              <w:rPr>
                <w:rFonts w:ascii="仿宋_GB2312" w:hAnsi="仿宋_GB2312" w:cs="仿宋_GB2312" w:eastAsia="仿宋_GB2312"/>
                <w:sz w:val="24"/>
              </w:rPr>
              <w:t>1.12379手机短信发布</w:t>
            </w:r>
          </w:p>
          <w:p>
            <w:pPr>
              <w:pStyle w:val="null3"/>
              <w:ind w:firstLine="502"/>
              <w:jc w:val="left"/>
            </w:pPr>
            <w:r>
              <w:rPr>
                <w:rFonts w:ascii="仿宋_GB2312" w:hAnsi="仿宋_GB2312" w:cs="仿宋_GB2312" w:eastAsia="仿宋_GB2312"/>
                <w:sz w:val="24"/>
              </w:rPr>
              <w:t>利用</w:t>
            </w:r>
            <w:r>
              <w:rPr>
                <w:rFonts w:ascii="仿宋_GB2312" w:hAnsi="仿宋_GB2312" w:cs="仿宋_GB2312" w:eastAsia="仿宋_GB2312"/>
                <w:sz w:val="24"/>
              </w:rPr>
              <w:t>12379短号码，实现向电信、移动、联通的固定用户(应急责任人和气象信息员)发送预警信息。</w:t>
            </w:r>
          </w:p>
          <w:p>
            <w:pPr>
              <w:pStyle w:val="null3"/>
              <w:jc w:val="left"/>
            </w:pPr>
            <w:r>
              <w:rPr>
                <w:rFonts w:ascii="仿宋_GB2312" w:hAnsi="仿宋_GB2312" w:cs="仿宋_GB2312" w:eastAsia="仿宋_GB2312"/>
                <w:sz w:val="24"/>
              </w:rPr>
              <w:t>2.微博自动发布</w:t>
            </w:r>
          </w:p>
          <w:p>
            <w:pPr>
              <w:pStyle w:val="null3"/>
              <w:ind w:firstLine="502"/>
              <w:jc w:val="left"/>
            </w:pPr>
            <w:r>
              <w:rPr>
                <w:rFonts w:ascii="仿宋_GB2312" w:hAnsi="仿宋_GB2312" w:cs="仿宋_GB2312" w:eastAsia="仿宋_GB2312"/>
                <w:sz w:val="24"/>
              </w:rPr>
              <w:t>通过对接西安市气象局官方微博账号，实现预警信息</w:t>
            </w:r>
            <w:r>
              <w:rPr>
                <w:rFonts w:ascii="仿宋_GB2312" w:hAnsi="仿宋_GB2312" w:cs="仿宋_GB2312" w:eastAsia="仿宋_GB2312"/>
                <w:sz w:val="24"/>
              </w:rPr>
              <w:t>“一键式”自动抓取、格式转换与同步推送，确保西安市气象台发布的气象预警信息直达微博平台，无需人工干预。</w:t>
            </w:r>
          </w:p>
          <w:p>
            <w:pPr>
              <w:pStyle w:val="null3"/>
              <w:jc w:val="left"/>
            </w:pPr>
            <w:r>
              <w:rPr>
                <w:rFonts w:ascii="仿宋_GB2312" w:hAnsi="仿宋_GB2312" w:cs="仿宋_GB2312" w:eastAsia="仿宋_GB2312"/>
                <w:sz w:val="24"/>
              </w:rPr>
              <w:t>3.“闪信”发布</w:t>
            </w:r>
          </w:p>
          <w:p>
            <w:pPr>
              <w:pStyle w:val="null3"/>
              <w:ind w:firstLine="502"/>
              <w:jc w:val="left"/>
            </w:pPr>
            <w:r>
              <w:rPr>
                <w:rFonts w:ascii="仿宋_GB2312" w:hAnsi="仿宋_GB2312" w:cs="仿宋_GB2312" w:eastAsia="仿宋_GB2312"/>
                <w:sz w:val="24"/>
              </w:rPr>
              <w:t>将西安市气象台签发的暴雨、大风、雷雨大风、暴雪四类高级别（红色、橙色）预警信息，通过</w:t>
            </w:r>
            <w:r>
              <w:rPr>
                <w:rFonts w:ascii="仿宋_GB2312" w:hAnsi="仿宋_GB2312" w:cs="仿宋_GB2312" w:eastAsia="仿宋_GB2312"/>
                <w:sz w:val="24"/>
              </w:rPr>
              <w:t>“闪信”霸屏形式自动推送至指定手机号码（应急责任人），并同时兼容移动、联通、电信号码。</w:t>
            </w:r>
          </w:p>
          <w:p>
            <w:pPr>
              <w:pStyle w:val="null3"/>
              <w:jc w:val="left"/>
            </w:pPr>
            <w:r>
              <w:rPr>
                <w:rFonts w:ascii="仿宋_GB2312" w:hAnsi="仿宋_GB2312" w:cs="仿宋_GB2312" w:eastAsia="仿宋_GB2312"/>
                <w:sz w:val="24"/>
              </w:rPr>
              <w:t>4.系统维护服务</w:t>
            </w:r>
          </w:p>
          <w:p>
            <w:pPr>
              <w:pStyle w:val="null3"/>
              <w:jc w:val="both"/>
            </w:pPr>
            <w:r>
              <w:rPr>
                <w:rFonts w:ascii="仿宋_GB2312" w:hAnsi="仿宋_GB2312" w:cs="仿宋_GB2312" w:eastAsia="仿宋_GB2312"/>
                <w:sz w:val="24"/>
              </w:rPr>
              <w:t xml:space="preserve">  定期进行系统维护；出现故障后，</w:t>
            </w:r>
            <w:r>
              <w:rPr>
                <w:rFonts w:ascii="仿宋_GB2312" w:hAnsi="仿宋_GB2312" w:cs="仿宋_GB2312" w:eastAsia="仿宋_GB2312"/>
                <w:sz w:val="24"/>
              </w:rPr>
              <w:t>2小时内安排专业人员进行远程协助处理，24小时内解决故障，恢复业务运行。</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服务要求：</w:t>
            </w:r>
          </w:p>
          <w:p>
            <w:pPr>
              <w:pStyle w:val="null3"/>
              <w:jc w:val="left"/>
            </w:pPr>
            <w:r>
              <w:rPr>
                <w:rFonts w:ascii="仿宋_GB2312" w:hAnsi="仿宋_GB2312" w:cs="仿宋_GB2312" w:eastAsia="仿宋_GB2312"/>
                <w:sz w:val="24"/>
                <w:b/>
              </w:rPr>
              <w:t>（一）技术要求</w:t>
            </w:r>
          </w:p>
          <w:p>
            <w:pPr>
              <w:pStyle w:val="null3"/>
              <w:ind w:firstLine="502"/>
              <w:jc w:val="left"/>
            </w:pPr>
            <w:r>
              <w:rPr>
                <w:rFonts w:ascii="仿宋_GB2312" w:hAnsi="仿宋_GB2312" w:cs="仿宋_GB2312" w:eastAsia="仿宋_GB2312"/>
                <w:sz w:val="24"/>
              </w:rPr>
              <w:t>1.时效要求。固定用户手机短信发布成功时间1万人以下&lt;15秒，1-5万人≤60秒；固定用户手机“闪信”发布成功时间1万人以下&lt;60秒， 1-5万人≤300秒。</w:t>
            </w:r>
          </w:p>
          <w:p>
            <w:pPr>
              <w:pStyle w:val="null3"/>
              <w:ind w:firstLine="502"/>
              <w:jc w:val="left"/>
            </w:pPr>
            <w:r>
              <w:rPr>
                <w:rFonts w:ascii="仿宋_GB2312" w:hAnsi="仿宋_GB2312" w:cs="仿宋_GB2312" w:eastAsia="仿宋_GB2312"/>
                <w:sz w:val="24"/>
              </w:rPr>
              <w:t>2.微博发送要求。自动推送预警信息时效（自系统获取到正式预警起至成功推送到微博平台止）≤5分钟。</w:t>
            </w:r>
          </w:p>
          <w:p>
            <w:pPr>
              <w:pStyle w:val="null3"/>
              <w:ind w:firstLine="502"/>
              <w:jc w:val="left"/>
            </w:pPr>
            <w:r>
              <w:rPr>
                <w:rFonts w:ascii="仿宋_GB2312" w:hAnsi="仿宋_GB2312" w:cs="仿宋_GB2312" w:eastAsia="仿宋_GB2312"/>
                <w:sz w:val="24"/>
              </w:rPr>
              <w:t>3.其他要求。向电信、移动、联通手机短信发布成功率≥90%，“闪信”发布成功率≥85%。</w:t>
            </w:r>
          </w:p>
          <w:p>
            <w:pPr>
              <w:pStyle w:val="null3"/>
              <w:jc w:val="left"/>
            </w:pPr>
            <w:r>
              <w:rPr>
                <w:rFonts w:ascii="仿宋_GB2312" w:hAnsi="仿宋_GB2312" w:cs="仿宋_GB2312" w:eastAsia="仿宋_GB2312"/>
                <w:sz w:val="24"/>
                <w:b/>
              </w:rPr>
              <w:t>（二）业务要求</w:t>
            </w:r>
          </w:p>
          <w:p>
            <w:pPr>
              <w:pStyle w:val="null3"/>
              <w:ind w:firstLine="502"/>
              <w:jc w:val="left"/>
            </w:pPr>
            <w:r>
              <w:rPr>
                <w:rFonts w:ascii="仿宋_GB2312" w:hAnsi="仿宋_GB2312" w:cs="仿宋_GB2312" w:eastAsia="仿宋_GB2312"/>
                <w:sz w:val="24"/>
              </w:rPr>
              <w:t>1.12379短信每条不高于0.06元，“闪信”发布短信每条不高于0.50元。</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 xml:space="preserve"> 2</w:t>
            </w:r>
            <w:r>
              <w:rPr>
                <w:rFonts w:ascii="仿宋_GB2312" w:hAnsi="仿宋_GB2312" w:cs="仿宋_GB2312" w:eastAsia="仿宋_GB2312"/>
                <w:sz w:val="24"/>
              </w:rPr>
              <w:t>.系统出现故障后</w:t>
            </w:r>
            <w:r>
              <w:rPr>
                <w:rFonts w:ascii="仿宋_GB2312" w:hAnsi="仿宋_GB2312" w:cs="仿宋_GB2312" w:eastAsia="仿宋_GB2312"/>
                <w:sz w:val="24"/>
              </w:rPr>
              <w:t>，2小时内安排专业人员进行远程协助处理，24小时内解决故障，恢复业务运行。</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rPr>
              <w:t>商务要求：</w:t>
            </w:r>
          </w:p>
          <w:p>
            <w:pPr>
              <w:pStyle w:val="null3"/>
              <w:ind w:firstLine="502"/>
              <w:jc w:val="left"/>
            </w:pPr>
            <w:r>
              <w:rPr>
                <w:rFonts w:ascii="仿宋_GB2312" w:hAnsi="仿宋_GB2312" w:cs="仿宋_GB2312" w:eastAsia="仿宋_GB2312"/>
                <w:sz w:val="24"/>
              </w:rPr>
              <w:t>由西安市气象局负责运行管理，委托有相关技术能力的单位、公司提供服务。</w:t>
            </w:r>
          </w:p>
          <w:p>
            <w:pPr>
              <w:pStyle w:val="null3"/>
              <w:ind w:firstLine="502"/>
              <w:jc w:val="left"/>
            </w:pPr>
            <w:r>
              <w:rPr>
                <w:rFonts w:ascii="仿宋_GB2312" w:hAnsi="仿宋_GB2312" w:cs="仿宋_GB2312" w:eastAsia="仿宋_GB2312"/>
                <w:sz w:val="24"/>
              </w:rPr>
              <w:t>服务期限：提供开始服务之日起一年。</w:t>
            </w:r>
          </w:p>
          <w:p>
            <w:pPr>
              <w:pStyle w:val="null3"/>
              <w:ind w:firstLine="502"/>
              <w:jc w:val="left"/>
            </w:pPr>
            <w:r>
              <w:rPr>
                <w:rFonts w:ascii="仿宋_GB2312" w:hAnsi="仿宋_GB2312" w:cs="仿宋_GB2312" w:eastAsia="仿宋_GB2312"/>
                <w:sz w:val="24"/>
              </w:rPr>
              <w:t>服务地点：采购人指定地点。</w:t>
            </w:r>
          </w:p>
          <w:p>
            <w:pPr>
              <w:pStyle w:val="null3"/>
              <w:ind w:firstLine="502"/>
              <w:jc w:val="left"/>
            </w:pPr>
            <w:r>
              <w:rPr>
                <w:rFonts w:ascii="仿宋_GB2312" w:hAnsi="仿宋_GB2312" w:cs="仿宋_GB2312" w:eastAsia="仿宋_GB2312"/>
                <w:sz w:val="24"/>
              </w:rPr>
              <w:t>付款方式：签订合同后</w:t>
            </w:r>
            <w:r>
              <w:rPr>
                <w:rFonts w:ascii="仿宋_GB2312" w:hAnsi="仿宋_GB2312" w:cs="仿宋_GB2312" w:eastAsia="仿宋_GB2312"/>
                <w:sz w:val="24"/>
              </w:rPr>
              <w:t>15日内，采购人向服务商支付合同总价款的60%；项目实施1个月后，采购人向服务商支付合同总价款的40%；</w:t>
            </w:r>
          </w:p>
          <w:p>
            <w:pPr>
              <w:pStyle w:val="null3"/>
              <w:ind w:firstLine="502"/>
              <w:jc w:val="left"/>
            </w:pPr>
            <w:r>
              <w:rPr>
                <w:rFonts w:ascii="仿宋_GB2312" w:hAnsi="仿宋_GB2312" w:cs="仿宋_GB2312" w:eastAsia="仿宋_GB2312"/>
                <w:sz w:val="24"/>
              </w:rPr>
              <w:t>成果交付要求：符合国家相关标准及采购人要求。</w:t>
            </w:r>
          </w:p>
          <w:p>
            <w:pPr>
              <w:pStyle w:val="null3"/>
              <w:jc w:val="both"/>
            </w:pPr>
            <w:r>
              <w:rPr>
                <w:rFonts w:ascii="仿宋_GB2312" w:hAnsi="仿宋_GB2312" w:cs="仿宋_GB2312" w:eastAsia="仿宋_GB2312"/>
                <w:sz w:val="24"/>
              </w:rPr>
              <w:t xml:space="preserve">  质量验收标准或规范：验收依据：合同文本、国内相应的标准、规范及招标文件、投标文件、承诺等。</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服务期限自2025年11月12日起至2026年11月11日止。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合同文本、国内相应的标准、规范及招标文件、投标文件、承诺等。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供应商需要在线提交所有通过电子化交易平台实施的政府采购项目的投标文件，同时，线下提交响应文件正本壹份、副本贰份。若电子投标文件与纸质投标文件不一致的，以线上提交的电子投标文件为准。 1.线下提交投标文件地点：西安市高新区旺座现代城C座2502室 2.联系电话：029-88319689转8003/8005 3.邮箱：sxwzzb04@163.com 弃标须知： 根据市财函｛2021｝431号文第16条规定：供应商登记免费领取采购文件的，如不参与项目投标，应在递交投标（或响应）文件截止时间一日前以书面形式告知采购代理机构（自拟弃标函加盖公章，发送扫描件至sxwzzb04@163.com）。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供应商提供2025年1月至今已缴纳的至少一个月纳税证明或完税证明，依法免税的单位应提供相关证明材料（以税款所属期为准）；</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提供经会计师事务所审计的2024年财务审计报告或在开标日期前六个月内其基本开户银行出具的资信证明；注：财会[2023]15号文《财政部 国务院国资委 金融监管总局关于加强审计报告查验工作的通知》会计师事务所应当主动向被审计单位提供附验证码的审计报告。即 2023 年及以后的审计报告需附验证码；</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非法定代表人参加投标的，须提供法定代表人授权委托书及被授权人身份证复印件加盖公章；法定代表人参加投标时,只需提供法定代表人身份证复印件加盖公章；</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投标人非采购人单位职工及家属投资开办声明</w:t>
            </w:r>
          </w:p>
        </w:tc>
        <w:tc>
          <w:tcPr>
            <w:tcW w:type="dxa" w:w="3322"/>
          </w:tcPr>
          <w:p>
            <w:pPr>
              <w:pStyle w:val="null3"/>
            </w:pPr>
            <w:r>
              <w:rPr>
                <w:rFonts w:ascii="仿宋_GB2312" w:hAnsi="仿宋_GB2312" w:cs="仿宋_GB2312" w:eastAsia="仿宋_GB2312"/>
              </w:rPr>
              <w:t>投标人非采购人单位职工及家属投资开办，其法人、股东和经营管理人员非采购人单位职工及家属；</w:t>
            </w:r>
          </w:p>
        </w:tc>
        <w:tc>
          <w:tcPr>
            <w:tcW w:type="dxa" w:w="1661"/>
          </w:tcPr>
          <w:p>
            <w:pPr>
              <w:pStyle w:val="null3"/>
            </w:pPr>
            <w:r>
              <w:rPr>
                <w:rFonts w:ascii="仿宋_GB2312" w:hAnsi="仿宋_GB2312" w:cs="仿宋_GB2312" w:eastAsia="仿宋_GB2312"/>
              </w:rPr>
              <w:t>供应商资格证明资料.docx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响应报价未超过预算或最高单价限价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服务期满足竞争性磋商文件要求</w:t>
            </w:r>
          </w:p>
        </w:tc>
        <w:tc>
          <w:tcPr>
            <w:tcW w:type="dxa" w:w="1661"/>
          </w:tcPr>
          <w:p>
            <w:pPr>
              <w:pStyle w:val="null3"/>
            </w:pPr>
            <w:r>
              <w:rPr>
                <w:rFonts w:ascii="仿宋_GB2312" w:hAnsi="仿宋_GB2312" w:cs="仿宋_GB2312" w:eastAsia="仿宋_GB2312"/>
              </w:rPr>
              <w:t>商务和服务响应偏离表.docx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分项报价表.docx 项目技术方案及业绩一览表.docx 商务和服务响应偏离表.docx 中小企业声明函 残疾人福利性单位声明函 供应商承诺书及其他需要说明的事项.docx 标的清单 报价表 响应函 供应商资格证明资料.docx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响应文件封面 分项报价表.docx 项目技术方案及业绩一览表.docx 商务和服务响应偏离表.docx 中小企业声明函 残疾人福利性单位声明函 供应商承诺书及其他需要说明的事项.docx 标的清单 报价表 响应函 供应商资格证明资料.docx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供应商对本项目服务内容及要求理解透彻，从业务和技术的角度出发，实施方案总体可行且科学、合理，架构完整、层次清楚，满足磋商文件、招标文件技术要求、行业服务技术标准及国家有关政策和法律 法规的要求。 1、服务方案内容全面详细，完全满足采购人需求并且能提供安全可靠的服务的得7.1-10分； 2、服务方案内容基本满足采购人需求的得3.1-7分； 3、服务方案内容不全面，缺乏可操作性的得0.1-3分。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项目技术方案及业绩一览表.docx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完全满足磋商文件的磋商内容及要求得12分，每出现一项负偏离或不满足扣2分。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商务和服务响应偏离表.docx</w:t>
            </w:r>
          </w:p>
          <w:p>
            <w:pPr>
              <w:pStyle w:val="null3"/>
            </w:pPr>
            <w:r>
              <w:rPr>
                <w:rFonts w:ascii="仿宋_GB2312" w:hAnsi="仿宋_GB2312" w:cs="仿宋_GB2312" w:eastAsia="仿宋_GB2312"/>
              </w:rPr>
              <w:t>项目技术方案及业绩一览表.docx</w:t>
            </w:r>
          </w:p>
          <w:p>
            <w:pPr>
              <w:pStyle w:val="null3"/>
            </w:pPr>
            <w:r>
              <w:rPr>
                <w:rFonts w:ascii="仿宋_GB2312" w:hAnsi="仿宋_GB2312" w:cs="仿宋_GB2312" w:eastAsia="仿宋_GB2312"/>
              </w:rPr>
              <w:t>供应商承诺书及其他需要说明的事项.docx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具有服务承诺、安全保障计划，服务承诺、进度和安全计划详细具体、全面、切实可行、管理制度完善。 1、方案内容具体、完整、详细、全面的得7.1-10分； 2、方案内容基本完善、可行的得3.1-7分； 3、内容欠缺、薄弱、不完整的得0.1-3分。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商务和服务响应偏离表.docx</w:t>
            </w:r>
          </w:p>
          <w:p>
            <w:pPr>
              <w:pStyle w:val="null3"/>
            </w:pPr>
            <w:r>
              <w:rPr>
                <w:rFonts w:ascii="仿宋_GB2312" w:hAnsi="仿宋_GB2312" w:cs="仿宋_GB2312" w:eastAsia="仿宋_GB2312"/>
              </w:rPr>
              <w:t>项目技术方案及业绩一览表.docx</w:t>
            </w:r>
          </w:p>
        </w:tc>
      </w:tr>
      <w:tr>
        <w:tc>
          <w:tcPr>
            <w:tcW w:type="dxa" w:w="831"/>
            <w:vMerge/>
          </w:tcPr>
          <w:p/>
        </w:tc>
        <w:tc>
          <w:tcPr>
            <w:tcW w:type="dxa" w:w="1661"/>
          </w:tcPr>
          <w:p>
            <w:pPr>
              <w:pStyle w:val="null3"/>
            </w:pPr>
            <w:r>
              <w:rPr>
                <w:rFonts w:ascii="仿宋_GB2312" w:hAnsi="仿宋_GB2312" w:cs="仿宋_GB2312" w:eastAsia="仿宋_GB2312"/>
              </w:rPr>
              <w:t>应急突发事件处理措施</w:t>
            </w:r>
          </w:p>
        </w:tc>
        <w:tc>
          <w:tcPr>
            <w:tcW w:type="dxa" w:w="2492"/>
          </w:tcPr>
          <w:p>
            <w:pPr>
              <w:pStyle w:val="null3"/>
            </w:pPr>
            <w:r>
              <w:rPr>
                <w:rFonts w:ascii="仿宋_GB2312" w:hAnsi="仿宋_GB2312" w:cs="仿宋_GB2312" w:eastAsia="仿宋_GB2312"/>
              </w:rPr>
              <w:t>针对本项目具有应急和突发事件的处理措施。 1、方案内容全面、科学、合理、可行的得7.1-10分； 2、方案内容基本全面、合理、可行的得3.1-7分； 3、方案内容不全面、可行性较差的得0.1-3分。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商务和服务响应偏离表.docx</w:t>
            </w:r>
          </w:p>
          <w:p>
            <w:pPr>
              <w:pStyle w:val="null3"/>
            </w:pPr>
            <w:r>
              <w:rPr>
                <w:rFonts w:ascii="仿宋_GB2312" w:hAnsi="仿宋_GB2312" w:cs="仿宋_GB2312" w:eastAsia="仿宋_GB2312"/>
              </w:rPr>
              <w:t>项目技术方案及业绩一览表.docx</w:t>
            </w:r>
          </w:p>
        </w:tc>
      </w:tr>
      <w:tr>
        <w:tc>
          <w:tcPr>
            <w:tcW w:type="dxa" w:w="831"/>
            <w:vMerge/>
          </w:tcPr>
          <w:p/>
        </w:tc>
        <w:tc>
          <w:tcPr>
            <w:tcW w:type="dxa" w:w="1661"/>
          </w:tcPr>
          <w:p>
            <w:pPr>
              <w:pStyle w:val="null3"/>
            </w:pPr>
            <w:r>
              <w:rPr>
                <w:rFonts w:ascii="仿宋_GB2312" w:hAnsi="仿宋_GB2312" w:cs="仿宋_GB2312" w:eastAsia="仿宋_GB2312"/>
              </w:rPr>
              <w:t>发布系统维护方案</w:t>
            </w:r>
          </w:p>
        </w:tc>
        <w:tc>
          <w:tcPr>
            <w:tcW w:type="dxa" w:w="2492"/>
          </w:tcPr>
          <w:p>
            <w:pPr>
              <w:pStyle w:val="null3"/>
            </w:pPr>
            <w:r>
              <w:rPr>
                <w:rFonts w:ascii="仿宋_GB2312" w:hAnsi="仿宋_GB2312" w:cs="仿宋_GB2312" w:eastAsia="仿宋_GB2312"/>
              </w:rPr>
              <w:t>供应商须提供发布系统运维服务工作方案，方案须切实可靠，保证系统稳定，短信业务发送、微博自动发布、“闪信”发布正常，根据运维服务响应方案优劣程度横向比较。 1、方案内容措施全面、科学、合理、可行的得7.1-10分； 2、方案内容措施基本全面、合理、可行的得3.1-7分； 3、方案内容措施不全面、可行性较差的得0.1-3分。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商务和服务响应偏离表.docx</w:t>
            </w:r>
          </w:p>
          <w:p>
            <w:pPr>
              <w:pStyle w:val="null3"/>
            </w:pPr>
            <w:r>
              <w:rPr>
                <w:rFonts w:ascii="仿宋_GB2312" w:hAnsi="仿宋_GB2312" w:cs="仿宋_GB2312" w:eastAsia="仿宋_GB2312"/>
              </w:rPr>
              <w:t>项目技术方案及业绩一览表.docx</w:t>
            </w:r>
          </w:p>
        </w:tc>
      </w:tr>
      <w:tr>
        <w:tc>
          <w:tcPr>
            <w:tcW w:type="dxa" w:w="831"/>
            <w:vMerge/>
          </w:tcPr>
          <w:p/>
        </w:tc>
        <w:tc>
          <w:tcPr>
            <w:tcW w:type="dxa" w:w="1661"/>
          </w:tcPr>
          <w:p>
            <w:pPr>
              <w:pStyle w:val="null3"/>
            </w:pPr>
            <w:r>
              <w:rPr>
                <w:rFonts w:ascii="仿宋_GB2312" w:hAnsi="仿宋_GB2312" w:cs="仿宋_GB2312" w:eastAsia="仿宋_GB2312"/>
              </w:rPr>
              <w:t>响应时效</w:t>
            </w:r>
          </w:p>
        </w:tc>
        <w:tc>
          <w:tcPr>
            <w:tcW w:type="dxa" w:w="2492"/>
          </w:tcPr>
          <w:p>
            <w:pPr>
              <w:pStyle w:val="null3"/>
            </w:pPr>
            <w:r>
              <w:rPr>
                <w:rFonts w:ascii="仿宋_GB2312" w:hAnsi="仿宋_GB2312" w:cs="仿宋_GB2312" w:eastAsia="仿宋_GB2312"/>
              </w:rPr>
              <w:t>供应商需提供响应时效承诺书。 1.基础响应时效（3分） 故障通知后30分钟内初步反馈得3分，1小时内得2分，2小时内得1分，超2小时不得分。 2.处理周期时效（2分） 故障通知后1小时内安排专业人员远程协助得2分，2小时内得1分，超2小时不得分。 3.故障解决时效（3分） 故障通知后8小时内解决并恢复运行得3分，16小时内得2分，24小时内得1分，超24小时不得分。 未提供响应时效承诺不得分。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商务和服务响应偏离表.docx</w:t>
            </w:r>
          </w:p>
          <w:p>
            <w:pPr>
              <w:pStyle w:val="null3"/>
            </w:pPr>
            <w:r>
              <w:rPr>
                <w:rFonts w:ascii="仿宋_GB2312" w:hAnsi="仿宋_GB2312" w:cs="仿宋_GB2312" w:eastAsia="仿宋_GB2312"/>
              </w:rPr>
              <w:t>项目技术方案及业绩一览表.docx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针对本项目具有严格的保密措施及制度。 1、保密措施及制度完善、合理、可行的得3.1-5分； 2、保密措施及制度基本全面、合理、可行的得2.1-3分； 3、保密措施及制度不全面、可行性较差的，得0.1-2分；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商务和服务响应偏离表.docx</w:t>
            </w:r>
          </w:p>
          <w:p>
            <w:pPr>
              <w:pStyle w:val="null3"/>
            </w:pPr>
            <w:r>
              <w:rPr>
                <w:rFonts w:ascii="仿宋_GB2312" w:hAnsi="仿宋_GB2312" w:cs="仿宋_GB2312" w:eastAsia="仿宋_GB2312"/>
              </w:rPr>
              <w:t>项目技术方案及业绩一览表.docx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供应商的项目服务团队人员具备专业化认证工程师资质，能有效保证项目顺利实施。 1.项目负责人（3分） 供应商须提供1名项目负责人，项目负责人持气象服务与应用气象高级工程师证书、气象服务与应用气象专业工程师证书，以上每提供1项得1.5分，最多得3分。 2.技术工程师（2分） 供应商须提供1名中级及以上技术工程师、气象服务与应用气象专业工程师证书，以上每提供1项得1分，最多得2分。 3.项目团队（10分） 项目团队人员最少5人（不含项目负责人和技术工程师），均为中级及以上职称且提供近3个月以来任意一月本单位社保缴纳证明，每名人员每项得1分，每名人员提供齐全得2分，最多得10分。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商务和服务响应偏离表.docx</w:t>
            </w:r>
          </w:p>
          <w:p>
            <w:pPr>
              <w:pStyle w:val="null3"/>
            </w:pPr>
            <w:r>
              <w:rPr>
                <w:rFonts w:ascii="仿宋_GB2312" w:hAnsi="仿宋_GB2312" w:cs="仿宋_GB2312" w:eastAsia="仿宋_GB2312"/>
              </w:rPr>
              <w:t>项目技术方案及业绩一览表.docx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提供2022年1月1日以来同类项目的业绩证明文件（证明文件以服务合同为准），每提供1份得2分，最多得10分。（提供合同协议以签订合同时间为准）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项目技术方案及业绩一览表.docx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详见附件：商务和服务响应偏离表.docx</w:t>
      </w:r>
    </w:p>
    <w:p>
      <w:pPr>
        <w:pStyle w:val="null3"/>
        <w:ind w:firstLine="960"/>
      </w:pPr>
      <w:r>
        <w:rPr>
          <w:rFonts w:ascii="仿宋_GB2312" w:hAnsi="仿宋_GB2312" w:cs="仿宋_GB2312" w:eastAsia="仿宋_GB2312"/>
        </w:rPr>
        <w:t>详见附件：项目技术方案及业绩一览表.docx</w:t>
      </w:r>
    </w:p>
    <w:p>
      <w:pPr>
        <w:pStyle w:val="null3"/>
        <w:ind w:firstLine="960"/>
      </w:pPr>
      <w:r>
        <w:rPr>
          <w:rFonts w:ascii="仿宋_GB2312" w:hAnsi="仿宋_GB2312" w:cs="仿宋_GB2312" w:eastAsia="仿宋_GB2312"/>
        </w:rPr>
        <w:t>详见附件：供应商承诺书及其他需要说明的事项.docx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