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版本号：JHZY-ZB-2025-01620250807001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西安智慧应急平台密码测评项目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JHZY-ZB-2025-016</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陕西泾河泽悦项目管理有限公司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陕西泾河泽悦项目管理有限公司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西安智慧应急平台密码测评项目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JHZY-ZB-2025-016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西安智慧应急平台密码测评项目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信息化项目管理办法(暂行)》相关要求，西安市应急管理局在现有信息系统的基础上，构建以监督管理、监测预警、指挥教援、防灾减灾、政务管理五大板块业务系统为主体的西安智慧应急平台。依据GM/T39786-2021《信息系统密码应用基本要求》，对西安智慧应急平台进行密码应用安全性评估，重点对其密码应用的合规性、正确性和有效性进行评估，有效控制安全风险，切实保障该平台的网络和信息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采购包1（西安智慧应急平台密码测评项目）：属于专门面向中小企业采购。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法定代表人身份证明：非法定代表人参加投标时，须提供法定代表人授权委托书（附法定代表人、被授权人身份证复印件及在本单位近3个月内任意一个月的社保证明），法定代表人直接参加磋商，须提供法定代表人身份证明及在本单位近3个月内任意一个月的社保证明；</w:t>
      </w:r>
    </w:p>
    <w:p>
      <w:pPr>
        <w:pStyle w:val="null3"/>
      </w:pPr>
      <w:r>
        <w:rPr>
          <w:rFonts w:ascii="仿宋_GB2312" w:hAnsi="仿宋_GB2312" w:cs="仿宋_GB2312" w:eastAsia="仿宋_GB2312"/>
        </w:rPr>
        <w:t>3、财务状况报告：提供2024年度经审计的财务审计报告，内容至少包括资产负债表、利润表、现金流量表及附注 （成立时间至提交响应文件截止时间不足一 年的可提供成立后任意时段的资产负债表）或开标 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4、税收缴纳证明：提供近一年已缴纳的至少一个月纳税证明或完税证明，依法免税或无须缴纳税收的供应商，应提供相应证明文件；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 情况证明，依法不需要缴纳社会保障资金的单位应提供相关证明材料；</w:t>
      </w:r>
    </w:p>
    <w:p>
      <w:pPr>
        <w:pStyle w:val="null3"/>
      </w:pPr>
      <w:r>
        <w:rPr>
          <w:rFonts w:ascii="仿宋_GB2312" w:hAnsi="仿宋_GB2312" w:cs="仿宋_GB2312" w:eastAsia="仿宋_GB2312"/>
        </w:rPr>
        <w:t>6、信用记录：供应商在递交响应文件截止时间前不得被“信用中国” 网站和“ 中国政府采购网”上列入失信被执行人、重大税收违法主体、政府采购严重违法失信行为记录名单；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8、专业技术承诺函：提供具有履行合同所必需的设备和专业技术能力的承诺函；</w:t>
      </w:r>
    </w:p>
    <w:p>
      <w:pPr>
        <w:pStyle w:val="null3"/>
      </w:pPr>
      <w:r>
        <w:rPr>
          <w:rFonts w:ascii="仿宋_GB2312" w:hAnsi="仿宋_GB2312" w:cs="仿宋_GB2312" w:eastAsia="仿宋_GB2312"/>
        </w:rPr>
        <w:t>9、特定资格：供应商提供有效的《商用密码检测机构资质证书》；</w:t>
      </w:r>
    </w:p>
    <w:p>
      <w:pPr>
        <w:pStyle w:val="null3"/>
      </w:pPr>
      <w:r>
        <w:rPr>
          <w:rFonts w:ascii="仿宋_GB2312" w:hAnsi="仿宋_GB2312" w:cs="仿宋_GB2312" w:eastAsia="仿宋_GB2312"/>
        </w:rPr>
        <w:t>10、中小企业承诺函：供应商提供中小企业声明函；</w:t>
      </w:r>
    </w:p>
    <w:p>
      <w:pPr>
        <w:pStyle w:val="null3"/>
      </w:pPr>
      <w:r>
        <w:rPr>
          <w:rFonts w:ascii="仿宋_GB2312" w:hAnsi="仿宋_GB2312" w:cs="仿宋_GB2312" w:eastAsia="仿宋_GB2312"/>
        </w:rPr>
        <w:t>11、非联合体：本项目不接受联合体磋商（需提供承诺书）。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陕西省西安经济技术开发区凤城七路旭辉中心2号楼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029-86517201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陕西泾河泽悦项目管理有限公司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陕西省西安市未央区北二环华帝金座A座903室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029-68656808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中标金额为基数,参照《国家计委关于印发&lt;招标代理服务收费管理暂行办法&gt;的通知》（计价格【2002】1980号）、国家发展改革委办公厅关于招标代理服务收费有关问题的通知发改办价格【2003】857号、《国家发改委关于降低部分建设项目收费标准规范收费行为等有关问题的通知》（发改价格[2011]534号）标准计取。中标单位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陕西泾河泽悦项目管理有限公司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陕西泾河泽悦项目管理有限公司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陕西泾河泽悦项目管理有限公司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联系电话：029-68656808</w:t>
      </w:r>
    </w:p>
    <w:p>
      <w:pPr>
        <w:pStyle w:val="null3"/>
      </w:pPr>
      <w:r>
        <w:rPr>
          <w:rFonts w:ascii="仿宋_GB2312" w:hAnsi="仿宋_GB2312" w:cs="仿宋_GB2312" w:eastAsia="仿宋_GB2312"/>
        </w:rPr>
        <w:t>地址：陕西省西安市未央区北二环华帝金座A座903室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信息化项目管理办法(暂行)》相关要求，西安市应急管理局在现有信息系统的基础上，构建以监督管理、监测预警、指挥教援、防灾减灾、政务管理五大板块业务系统为主体的西安智慧应急平台。依据GM/T39786-2021《信息系统密码应用基本要求》，对西安智慧应急平台进行密码应用安全性评估，重点对其密码应用的合规性、正确性和有效性进行评估，有效控制安全风险，切实保障该平台的网络和信息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西安智慧应急平台密码测评项目 </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标的名称：西安智慧应急平台密码测评项目 </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 、项目背景</w:t>
            </w:r>
          </w:p>
          <w:p>
            <w:pPr>
              <w:pStyle w:val="null3"/>
              <w:jc w:val="both"/>
            </w:pPr>
            <w:r>
              <w:rPr>
                <w:rFonts w:ascii="仿宋_GB2312" w:hAnsi="仿宋_GB2312" w:cs="仿宋_GB2312" w:eastAsia="仿宋_GB2312"/>
                <w:sz w:val="24"/>
              </w:rPr>
              <w:t xml:space="preserve">    按照《西安市信息化项目管理办法(暂行)》相关要求，我局在现有信息系统的基础上，构建以监督管理、监测预警、指挥教援、防灾减灾、政务管理五大板块业务系统为主体的西安智慧应急平台。依据GM/T39786-2021《信息系统密码应用基本要求》，对西安智慧应急平台进行密码应用安全性评估，重点对其密码应用的合规性、正确性和有效性进行评估，有效控制安全风险，切实保障该平台的网络和信息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 、项目目标</w:t>
            </w:r>
          </w:p>
          <w:p>
            <w:pPr>
              <w:pStyle w:val="null3"/>
              <w:jc w:val="both"/>
            </w:pPr>
            <w:r>
              <w:rPr>
                <w:rFonts w:ascii="仿宋_GB2312" w:hAnsi="仿宋_GB2312" w:cs="仿宋_GB2312" w:eastAsia="仿宋_GB2312"/>
                <w:sz w:val="24"/>
              </w:rPr>
              <w:t xml:space="preserve">    依照《信息系统密码应用基本要求》、《公安机关商用密码应用指南》等政策文件要求，制定西安智慧应急平台密码测评方案，实施测评，提出整改意见，跟踪整改进度，为服务项目验收提供依据。主要功能包括组织开展密码评估方案评审，对系统进行评估，按照材料审查、人员访谈、实地查看、配置检查、工具测评等评估方法对系统密码应用情况进行评估分析，对评估过程中发现的问题进行汇总确认，总结各项评估指标的评估结果，编制密码评估报告，完成密码备案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right="210"/>
            </w:pPr>
            <w:r>
              <w:rPr>
                <w:rFonts w:ascii="仿宋_GB2312" w:hAnsi="仿宋_GB2312" w:cs="仿宋_GB2312" w:eastAsia="仿宋_GB2312"/>
                <w:sz w:val="24"/>
              </w:rPr>
              <w:t>三 、服务内容</w:t>
            </w:r>
          </w:p>
          <w:p>
            <w:pPr>
              <w:pStyle w:val="null3"/>
              <w:ind w:left="210" w:right="210" w:firstLine="382"/>
            </w:pPr>
            <w:r>
              <w:rPr>
                <w:rFonts w:ascii="仿宋_GB2312" w:hAnsi="仿宋_GB2312" w:cs="仿宋_GB2312" w:eastAsia="仿宋_GB2312"/>
                <w:sz w:val="24"/>
              </w:rPr>
              <w:t>按照GB/T 39786-2021 《信息安全技术 信息系统密码应用基本要求》及通过评估的密码应用方案对委托方约30个子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具体内容包括：</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404"/>
              <w:gridCol w:w="553"/>
              <w:gridCol w:w="1413"/>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服务内容子项</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工作内容</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需求沟通确认</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需求沟通调研和确认工作实施要求</w:t>
                  </w:r>
                </w:p>
              </w:tc>
              <w:tc>
                <w:tcPr>
                  <w:tcW w:type="dxa" w:w="1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对安全评估的组织实施流程、风险管控效果、时间节点、交付成果、评估方式等基础信息进行沟通核实，确认服务需求和工作要求</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基础材料搜集整理和现场沟通采集</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按照评估准备实施要求，搜集整理必要素材</w:t>
                  </w:r>
                </w:p>
              </w:tc>
              <w:tc>
                <w:tcPr>
                  <w:tcW w:type="dxa" w:w="1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通过远程或现场会议方式与业务研发、运维部门技术团队和保障团队沟通评估所需基础素材、文档等必要信息</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密码应用方案评估</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密码应用方案</w:t>
                  </w:r>
                </w:p>
                <w:p>
                  <w:pPr>
                    <w:pStyle w:val="null3"/>
                    <w:jc w:val="center"/>
                  </w:pPr>
                  <w:r>
                    <w:rPr>
                      <w:rFonts w:ascii="仿宋_GB2312" w:hAnsi="仿宋_GB2312" w:cs="仿宋_GB2312" w:eastAsia="仿宋_GB2312"/>
                      <w:sz w:val="21"/>
                    </w:rPr>
                    <w:t>评估</w:t>
                  </w:r>
                </w:p>
              </w:tc>
              <w:tc>
                <w:tcPr>
                  <w:tcW w:type="dxa" w:w="1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对委托方制定的密码应用方案进行评估，出具《密码应用方案评估报告》</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系统评估</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依据GB/T 39786-2021《信息系统密码应用基本要求》等标准进行测评</w:t>
                  </w:r>
                </w:p>
              </w:tc>
              <w:tc>
                <w:tcPr>
                  <w:tcW w:type="dxa" w:w="1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按照GB/T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报告编制</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编制评估报告</w:t>
                  </w:r>
                </w:p>
              </w:tc>
              <w:tc>
                <w:tcPr>
                  <w:tcW w:type="dxa" w:w="1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对评估过程中发现的问题进行汇总确认，总结各项评估指标的评估结果，编制评估报告。</w:t>
                  </w:r>
                </w:p>
              </w:tc>
            </w:tr>
          </w:tbl>
          <w:p>
            <w:pPr>
              <w:pStyle w:val="null3"/>
              <w:ind w:firstLine="400"/>
            </w:pPr>
            <w:r>
              <w:rPr>
                <w:rFonts w:ascii="仿宋_GB2312" w:hAnsi="仿宋_GB2312" w:cs="仿宋_GB2312" w:eastAsia="仿宋_GB2312"/>
                <w:sz w:val="24"/>
              </w:rPr>
              <w:t>开展商用密码应用安全性评估，需从物理环境、网络通信、设备</w:t>
            </w:r>
            <w:r>
              <w:rPr>
                <w:rFonts w:ascii="仿宋_GB2312" w:hAnsi="仿宋_GB2312" w:cs="仿宋_GB2312" w:eastAsia="仿宋_GB2312"/>
                <w:sz w:val="24"/>
              </w:rPr>
              <w:t>、</w:t>
            </w:r>
            <w:r>
              <w:rPr>
                <w:rFonts w:ascii="仿宋_GB2312" w:hAnsi="仿宋_GB2312" w:cs="仿宋_GB2312" w:eastAsia="仿宋_GB2312"/>
                <w:sz w:val="24"/>
              </w:rPr>
              <w:t>计算、应用</w:t>
            </w:r>
            <w:r>
              <w:rPr>
                <w:rFonts w:ascii="仿宋_GB2312" w:hAnsi="仿宋_GB2312" w:cs="仿宋_GB2312" w:eastAsia="仿宋_GB2312"/>
                <w:sz w:val="24"/>
              </w:rPr>
              <w:t>、</w:t>
            </w:r>
            <w:r>
              <w:rPr>
                <w:rFonts w:ascii="仿宋_GB2312" w:hAnsi="仿宋_GB2312" w:cs="仿宋_GB2312" w:eastAsia="仿宋_GB2312"/>
                <w:sz w:val="24"/>
              </w:rPr>
              <w:t>数据、管理制度、人员管理、建设运行、应急处置等多个方面开展测评，具体测评指标如下（以第三级信息系统为例）：</w:t>
            </w:r>
          </w:p>
          <w:tbl>
            <w:tblPr>
              <w:tblInd w:type="dxa" w:w="120"/>
              <w:tblBorders>
                <w:top w:val="none" w:color="000000" w:sz="4"/>
                <w:left w:val="none" w:color="000000" w:sz="4"/>
                <w:bottom w:val="none" w:color="000000" w:sz="4"/>
                <w:right w:val="none" w:color="000000" w:sz="4"/>
                <w:insideH w:val="none"/>
                <w:insideV w:val="none"/>
              </w:tblBorders>
            </w:tblPr>
            <w:tblGrid>
              <w:gridCol w:w="278"/>
              <w:gridCol w:w="634"/>
              <w:gridCol w:w="1640"/>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测评层面</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测评单元</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物理环境安全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身份鉴别</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宜采用密码技术进行物理访问身份鉴别，保证重要区域进入人员身份的真实性。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电子门禁记录数据存储完整性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宜采用密码技术保证电子门禁系统进出记录数据的存储完整性。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视频监控记录数据存储完整性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宜采用密码技术保证视频监控音像记录数据的存储完整性。</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网络通信安全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身份鉴别</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应采用密码技术对通信实体进行身份鉴别，保证通信实体身份的真实性。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通信数据完整性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宜采用密码技术保证通信过程中数据的完整性。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通信过程中重要数据的机密性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应采用密码技术保证通信过程中重要数据的机密性。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网络边界访问控制信息的完整性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宜采用密码技术保证网络边界访问控制信息的完整性。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安全接入认证</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可采用密码技术对从外部连接到内部网络的设备进行接入认证，确保接入的设备身份真实性。</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设备和计算安全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身份鉴别</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应采用密码技术对登录设备的用户进行身份鉴别，保证用户身份的真实性。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远程管理通道安全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远程管理设备时，应采用密码技术建立安全的信息传输通道。</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系统资源访问控制信息完整性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宜采用密码技术保证系统资源访问控制信息的完整性。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重要信息资源安全标记完整性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宜采用密码技术保证设备中的重要信息资源安全标记的完整性。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日志记录完整性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宜采用密码技术保证日志记录的完整性。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重要可执行程序完整性、重要可执行程序来源真实性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宜采用密码技术对重要可执行程序进行完整性保护，并对其来源进行真实性验证。</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应用和数据安全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身份鉴别</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应采用密码技术对登录用户进行身份鉴别，保证应用系统用户身份的真实性。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访问控制信息完整性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宜采用密码技术保证信息系统应用的访问控制信息的完整性。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重要信息资源安全标记完整性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宜采用密码技术保证信息系统应用的重要信息资源安全标记的完整性；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重要数据传输机密性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应采用密码技术保证信息系统应用的重要数据在传输过程中的机密性。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重要数据存储机密性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应采用密码技术保证信息系统应用的重要数据在存储过程中的机密性。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重要数据传输完整性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宜采用密码技术保证信息系统应用的重要数据在传输过程中的完整性。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重要数据存储完整性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宜采用密码技术保证信息系统应用的重要数据在存储过程中的完整性；</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不可否认性</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在可能涉及法律责任认定的应用中，宜采用密码技术提供数据原发证据和数据接收证据，实现数据原发行为的不可否认性和数据接收行为的不可否认性。</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管理制度</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具备密码应用安全管理制度</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应具备密码应用安全管理制度，包括密码人员管理、密钥管理、建设运行、应急处置、密码软硬件及介质管理等制度；</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密钥管理规则</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应根据密码应用方案建立相应密钥管理规则；</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建立操作规程</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应对管理人员或操作人员执行的日常管理操作建立操作规程；</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定期修订安全管理制度</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应定期对密码应用安全管理制度和操作规程的合理性和适用性进行论证和审定，对存在不足或需要改进之处进行修订；</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明确管理制度发布流程</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应明确相关密码应用安全管理制度和操作规程的发布流程并进行版本控制；</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制度执行过程记录留存</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应具有密码应用操作规程的相关执行记录并妥善保存。</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人员管理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了解并遵守密码相关法律法规和密码管理制度</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相关人员应了解并遵守密码相关法律法规、密码应用安全管理制度；</w:t>
                  </w:r>
                </w:p>
              </w:tc>
            </w:tr>
            <w:tr>
              <w:tc>
                <w:tcPr>
                  <w:tcW w:type="dxa" w:w="278"/>
                  <w:vMerge/>
                  <w:tcBorders>
                    <w:top w:val="none" w:color="000000" w:sz="4"/>
                    <w:left w:val="single" w:color="000000" w:sz="4"/>
                    <w:bottom w:val="single" w:color="000000" w:sz="4"/>
                    <w:right w:val="single" w:color="000000" w:sz="4"/>
                  </w:tcBorders>
                </w:tcPr>
                <w:p/>
              </w:tc>
              <w:tc>
                <w:tcPr>
                  <w:tcW w:type="dxa" w:w="6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建立密码应用岗位责任制度</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应建立密码应用岗位责任制度，明确各岗位在安全系统中的职责和权限：</w:t>
                  </w:r>
                </w:p>
              </w:tc>
            </w:tr>
            <w:tr>
              <w:tc>
                <w:tcPr>
                  <w:tcW w:type="dxa" w:w="278"/>
                  <w:vMerge/>
                  <w:tcBorders>
                    <w:top w:val="none" w:color="000000" w:sz="4"/>
                    <w:left w:val="single" w:color="000000" w:sz="4"/>
                    <w:bottom w:val="single" w:color="000000" w:sz="4"/>
                    <w:right w:val="single" w:color="000000" w:sz="4"/>
                  </w:tcBorders>
                </w:tcPr>
                <w:p/>
              </w:tc>
              <w:tc>
                <w:tcPr>
                  <w:tcW w:type="dxa" w:w="634"/>
                  <w:vMerge/>
                  <w:tcBorders>
                    <w:top w:val="none" w:color="000000" w:sz="4"/>
                    <w:left w:val="non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根据密码应用的实际情况，设置密钥管理员、密码安全审计员、密码操作员等关键安全岗位；</w:t>
                  </w:r>
                </w:p>
              </w:tc>
            </w:tr>
            <w:tr>
              <w:tc>
                <w:tcPr>
                  <w:tcW w:type="dxa" w:w="278"/>
                  <w:vMerge/>
                  <w:tcBorders>
                    <w:top w:val="none" w:color="000000" w:sz="4"/>
                    <w:left w:val="single" w:color="000000" w:sz="4"/>
                    <w:bottom w:val="single" w:color="000000" w:sz="4"/>
                    <w:right w:val="single" w:color="000000" w:sz="4"/>
                  </w:tcBorders>
                </w:tcPr>
                <w:p/>
              </w:tc>
              <w:tc>
                <w:tcPr>
                  <w:tcW w:type="dxa" w:w="634"/>
                  <w:vMerge/>
                  <w:tcBorders>
                    <w:top w:val="none" w:color="000000" w:sz="4"/>
                    <w:left w:val="non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 对关键岗位建立多人共管机制；</w:t>
                  </w:r>
                </w:p>
              </w:tc>
            </w:tr>
            <w:tr>
              <w:tc>
                <w:tcPr>
                  <w:tcW w:type="dxa" w:w="278"/>
                  <w:vMerge/>
                  <w:tcBorders>
                    <w:top w:val="none" w:color="000000" w:sz="4"/>
                    <w:left w:val="single" w:color="000000" w:sz="4"/>
                    <w:bottom w:val="single" w:color="000000" w:sz="4"/>
                    <w:right w:val="single" w:color="000000" w:sz="4"/>
                  </w:tcBorders>
                </w:tcPr>
                <w:p/>
              </w:tc>
              <w:tc>
                <w:tcPr>
                  <w:tcW w:type="dxa" w:w="634"/>
                  <w:vMerge/>
                  <w:tcBorders>
                    <w:top w:val="none" w:color="000000" w:sz="4"/>
                    <w:left w:val="non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 密钥管理、密码安全审计、密码操作人员职责互相制约互相监督，其中密码安全审计员岗位不可与密钥管理员、密码操作员兼任；</w:t>
                  </w:r>
                </w:p>
              </w:tc>
            </w:tr>
            <w:tr>
              <w:tc>
                <w:tcPr>
                  <w:tcW w:type="dxa" w:w="278"/>
                  <w:vMerge/>
                  <w:tcBorders>
                    <w:top w:val="none" w:color="000000" w:sz="4"/>
                    <w:left w:val="single" w:color="000000" w:sz="4"/>
                    <w:bottom w:val="single" w:color="000000" w:sz="4"/>
                    <w:right w:val="single" w:color="000000" w:sz="4"/>
                  </w:tcBorders>
                </w:tcPr>
                <w:p/>
              </w:tc>
              <w:tc>
                <w:tcPr>
                  <w:tcW w:type="dxa" w:w="634"/>
                  <w:vMerge/>
                  <w:tcBorders>
                    <w:top w:val="none" w:color="000000" w:sz="4"/>
                    <w:left w:val="non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 相关设备与系统的管理和使用账号不得多人共用。</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建立上岗人员培训制度</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应建立上岗人员培训制度，对于涉及密码的操作和管理的人员进行专门培训，确保其具备岗位所需专业技能；</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定期进行安全岗位人员考核</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应定期对密码应用安全岗位人员进行考核；</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建立关键岗位人员保密制度和调离制度</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应建立关键人员保密制度和调离制度，签订保密合同，承担保密义务。</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w:t>
                  </w:r>
                  <w:r>
                    <w:rPr>
                      <w:rFonts w:ascii="仿宋_GB2312" w:hAnsi="仿宋_GB2312" w:cs="仿宋_GB2312" w:eastAsia="仿宋_GB2312"/>
                      <w:sz w:val="21"/>
                    </w:rPr>
                    <w:t>实施</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制定密码应用方案</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应依据密码相关标准和密码应用需求，制定密码应用方案</w:t>
                  </w:r>
                  <w:r>
                    <w:rPr>
                      <w:rFonts w:ascii="仿宋_GB2312" w:hAnsi="仿宋_GB2312" w:cs="仿宋_GB2312" w:eastAsia="仿宋_GB2312"/>
                      <w:sz w:val="21"/>
                    </w:rPr>
                    <w:t>。</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制定密钥安全管理策略</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应根据密码应用方案，确定系统涉及的密钥种类、体系及其生命周期环节，各环节密钥管理要求</w:t>
                  </w:r>
                  <w:r>
                    <w:rPr>
                      <w:rFonts w:ascii="仿宋_GB2312" w:hAnsi="仿宋_GB2312" w:cs="仿宋_GB2312" w:eastAsia="仿宋_GB2312"/>
                      <w:sz w:val="21"/>
                    </w:rPr>
                    <w:t>。</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制定实施方案</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应按照应用方案实施建设</w:t>
                  </w:r>
                  <w:r>
                    <w:rPr>
                      <w:rFonts w:ascii="仿宋_GB2312" w:hAnsi="仿宋_GB2312" w:cs="仿宋_GB2312" w:eastAsia="仿宋_GB2312"/>
                      <w:sz w:val="21"/>
                    </w:rPr>
                    <w:t>。</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投入运行前进行密码应用安全性评估</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投入运行前应进行密码应用安全性评估，评估通过后系统方可正式运行</w:t>
                  </w:r>
                  <w:r>
                    <w:rPr>
                      <w:rFonts w:ascii="仿宋_GB2312" w:hAnsi="仿宋_GB2312" w:cs="仿宋_GB2312" w:eastAsia="仿宋_GB2312"/>
                      <w:sz w:val="21"/>
                    </w:rPr>
                    <w:t>。</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定期开展密码应用安全性评估及攻防对抗演习</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在运行过程中，应严格执行既定的密码应用安全管理制度，应定期开展密码应用安全性评估及攻防对抗演习，并根据评估结果进行整改。</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应急处置</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应急策略</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应制定密码应用应急策略，做好应急资源准备，当密码应用安全事件发生时，应立即启动应急处置措施，结合实际情况及时处置</w:t>
                  </w:r>
                  <w:r>
                    <w:rPr>
                      <w:rFonts w:ascii="仿宋_GB2312" w:hAnsi="仿宋_GB2312" w:cs="仿宋_GB2312" w:eastAsia="仿宋_GB2312"/>
                      <w:sz w:val="21"/>
                    </w:rPr>
                    <w:t>。</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事件处置</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事件发生后，应及时向信息系统主管部门进行报告</w:t>
                  </w:r>
                  <w:r>
                    <w:rPr>
                      <w:rFonts w:ascii="仿宋_GB2312" w:hAnsi="仿宋_GB2312" w:cs="仿宋_GB2312" w:eastAsia="仿宋_GB2312"/>
                      <w:sz w:val="21"/>
                    </w:rPr>
                    <w:t>。</w:t>
                  </w:r>
                </w:p>
              </w:tc>
            </w:tr>
            <w:tr>
              <w:tc>
                <w:tcPr>
                  <w:tcW w:type="dxa" w:w="278"/>
                  <w:vMerge/>
                  <w:tcBorders>
                    <w:top w:val="none" w:color="000000" w:sz="4"/>
                    <w:left w:val="singl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向有关主管部门上报处置情况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事件处置完成后，应及时向信息系统主管部门及归属的密码管理部门报告事件发生情况及处置情况。</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四、进度要求</w:t>
            </w:r>
          </w:p>
          <w:p>
            <w:pPr>
              <w:pStyle w:val="null3"/>
              <w:ind w:firstLine="480"/>
              <w:jc w:val="both"/>
            </w:pPr>
            <w:r>
              <w:rPr>
                <w:rFonts w:ascii="仿宋_GB2312" w:hAnsi="仿宋_GB2312" w:cs="仿宋_GB2312" w:eastAsia="仿宋_GB2312"/>
                <w:sz w:val="24"/>
              </w:rPr>
              <w:t>1．服务期限为自合同签订之日起90日历天。</w:t>
            </w:r>
          </w:p>
          <w:p>
            <w:pPr>
              <w:pStyle w:val="null3"/>
              <w:ind w:firstLine="480"/>
              <w:jc w:val="both"/>
            </w:pPr>
            <w:r>
              <w:rPr>
                <w:rFonts w:ascii="仿宋_GB2312" w:hAnsi="仿宋_GB2312" w:cs="仿宋_GB2312" w:eastAsia="仿宋_GB2312"/>
                <w:sz w:val="24"/>
              </w:rPr>
              <w:t>2．中标方应提交从合同签订之日起的周工作进度安排计划，须严格按照项目进度要求开展项目工作。</w:t>
            </w:r>
          </w:p>
          <w:p>
            <w:pPr>
              <w:pStyle w:val="null3"/>
              <w:ind w:firstLine="480"/>
              <w:jc w:val="both"/>
            </w:pPr>
            <w:r>
              <w:rPr>
                <w:rFonts w:ascii="仿宋_GB2312" w:hAnsi="仿宋_GB2312" w:cs="仿宋_GB2312" w:eastAsia="仿宋_GB2312"/>
                <w:sz w:val="24"/>
              </w:rPr>
              <w:t>3．须严格按照项目阶段设计项目里程碑和里程碑产出物。</w:t>
            </w:r>
          </w:p>
          <w:p>
            <w:pPr>
              <w:pStyle w:val="null3"/>
              <w:ind w:firstLine="480"/>
              <w:jc w:val="both"/>
            </w:pPr>
            <w:r>
              <w:rPr>
                <w:rFonts w:ascii="仿宋_GB2312" w:hAnsi="仿宋_GB2312" w:cs="仿宋_GB2312" w:eastAsia="仿宋_GB2312"/>
                <w:sz w:val="24"/>
              </w:rPr>
              <w:t>4．中标方须严格按照项目里程碑开展工作。招标方将根据里程碑和里程碑产出物审核投标方工作。</w:t>
            </w:r>
          </w:p>
          <w:p>
            <w:pPr>
              <w:pStyle w:val="null3"/>
              <w:jc w:val="both"/>
            </w:pPr>
            <w:r>
              <w:rPr>
                <w:rFonts w:ascii="仿宋_GB2312" w:hAnsi="仿宋_GB2312" w:cs="仿宋_GB2312" w:eastAsia="仿宋_GB2312"/>
                <w:sz w:val="24"/>
              </w:rPr>
              <w:t xml:space="preserve">    5．若由于中标方自身原因导致项目进度滞后于项目里程碑计划，招标方可根据合同要求追究中标方责任。</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五、服务人员</w:t>
            </w:r>
          </w:p>
          <w:p>
            <w:pPr>
              <w:pStyle w:val="null3"/>
              <w:ind w:firstLine="480"/>
              <w:jc w:val="both"/>
            </w:pPr>
            <w:r>
              <w:rPr>
                <w:rFonts w:ascii="仿宋_GB2312" w:hAnsi="仿宋_GB2312" w:cs="仿宋_GB2312" w:eastAsia="仿宋_GB2312"/>
                <w:sz w:val="24"/>
              </w:rPr>
              <w:t>在项目负责人员方面，应包括一名专职负责的项目负责人；在实施期内，项目负责人应根据项目需要到指定现场处理问题或交流情况。应保证为本项目配备足够的现场测评技术人员，构建测评工具环境，同时应保证足够的场外支持人员，在技能上要有软件测试、软件设计、网络安全和密码安全等领域的专业人员。</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测评人员需通过国家密码管理局商用密码检测中心或国家商用密码应用安全性评估人员测评能力考核小组组织的商用密码应用安全性评估人员测评能力考核。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六、保密要求</w:t>
            </w:r>
          </w:p>
          <w:p>
            <w:pPr>
              <w:pStyle w:val="null3"/>
              <w:ind w:firstLine="480"/>
              <w:jc w:val="both"/>
            </w:pPr>
            <w:r>
              <w:rPr>
                <w:rFonts w:ascii="仿宋_GB2312" w:hAnsi="仿宋_GB2312" w:cs="仿宋_GB2312" w:eastAsia="仿宋_GB2312"/>
                <w:sz w:val="24"/>
              </w:rPr>
              <w:t>1．须签订保密协议，对其因身份、职务、职业或技术关系而知悉的采购人商业秘密和党政机关保密信息应严格保守，保证不被披露或使用，包括意外或过失。</w:t>
            </w:r>
          </w:p>
          <w:p>
            <w:pPr>
              <w:pStyle w:val="null3"/>
              <w:ind w:firstLine="480"/>
              <w:jc w:val="both"/>
            </w:pPr>
            <w:r>
              <w:rPr>
                <w:rFonts w:ascii="仿宋_GB2312" w:hAnsi="仿宋_GB2312" w:cs="仿宋_GB2312" w:eastAsia="仿宋_GB2312"/>
                <w:sz w:val="24"/>
              </w:rPr>
              <w:t>2．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在从事政府项目时，不得擅自记录、复制、拍摄、摘抄、收藏在工作中涉及的保密信息，严禁将涉及政府项目的任何资料、数据透露或以其他方式提供给项目以外的其他方或内部与该项目无关的任何人员。</w:t>
            </w:r>
          </w:p>
          <w:p>
            <w:pPr>
              <w:pStyle w:val="null3"/>
              <w:ind w:firstLine="480"/>
              <w:jc w:val="both"/>
            </w:pPr>
            <w:r>
              <w:rPr>
                <w:rFonts w:ascii="仿宋_GB2312" w:hAnsi="仿宋_GB2312" w:cs="仿宋_GB2312" w:eastAsia="仿宋_GB2312"/>
                <w:sz w:val="24"/>
              </w:rPr>
              <w:t>3．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both"/>
            </w:pPr>
            <w:r>
              <w:rPr>
                <w:rFonts w:ascii="仿宋_GB2312" w:hAnsi="仿宋_GB2312" w:cs="仿宋_GB2312" w:eastAsia="仿宋_GB2312"/>
                <w:sz w:val="24"/>
              </w:rPr>
              <w:t>4．严禁泄露在工作中接触到的政府机关科技研究、发明、装备器材及其技术资料和政府工作信息。</w:t>
            </w:r>
          </w:p>
          <w:p>
            <w:pPr>
              <w:pStyle w:val="null3"/>
              <w:jc w:val="both"/>
            </w:pPr>
            <w:r>
              <w:rPr>
                <w:rFonts w:ascii="仿宋_GB2312" w:hAnsi="仿宋_GB2312" w:cs="仿宋_GB2312" w:eastAsia="仿宋_GB2312"/>
                <w:sz w:val="24"/>
              </w:rPr>
              <w:t xml:space="preserve">    5．在测评过程中，切实加强对人员、技术等方面的组织管理；与所有相关人员签署具有法律意义的保密协议，确保在项目实施过程中涉及的所有信息，不会泄露给第三方单位或个人，不得擅自利用这些信息。所指派的任何工作人员均须与被测单位签署《保密承诺书》，对知悉的事项及信息予以保密，所有资料、技术文档应妥善保管，不得遗失、转借、复印，不得以任何形式向第三方透露；所有密码应用解决方案和采集汇总后的数据严禁通过互联网等公共信息网络、普通邮政进行传递，严禁在连接互联网计算机存储、处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七、交付要求</w:t>
            </w:r>
          </w:p>
          <w:p>
            <w:pPr>
              <w:pStyle w:val="null3"/>
              <w:ind w:firstLine="480"/>
              <w:jc w:val="both"/>
            </w:pPr>
            <w:r>
              <w:rPr>
                <w:rFonts w:ascii="仿宋_GB2312" w:hAnsi="仿宋_GB2312" w:cs="仿宋_GB2312" w:eastAsia="仿宋_GB2312"/>
                <w:sz w:val="24"/>
              </w:rPr>
              <w:t>除实际的服务工作，本项目须提交文档成果，包括纸质文档装订成册3套，电子文档1套（电子版与纸质版内容一致），包括但不限于以下文档成果：</w:t>
            </w:r>
          </w:p>
          <w:p>
            <w:pPr>
              <w:pStyle w:val="null3"/>
              <w:jc w:val="both"/>
            </w:pPr>
            <w:r>
              <w:rPr>
                <w:rFonts w:ascii="仿宋_GB2312" w:hAnsi="仿宋_GB2312" w:cs="仿宋_GB2312" w:eastAsia="仿宋_GB2312"/>
                <w:sz w:val="24"/>
              </w:rPr>
              <w:t xml:space="preserve">    密码应用测评方案、密码应用测评记录、密码应用测评报告（需包含测评依据、测评过程、测评内容、测评结果及测评结论）、密码应用测评整改建议。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在项目负责人员方面，应包括一名专职负责的项目负责人；在实施期内，项目负责人应根据项目需要到指定现场处理问题或交流情况。应保证为本项目配备足够的现场测评技术人员，构建测评工具环境，同时应保证足够的场外支持人员，在技能上要有软件测试、软件设计、网络安全和密码安全等领域的专业人员。 测评人员需通过国家密码管理局商用密码检测中心或国家商用密码应用安全性评估人员测评能力考核小组组织的商用密码应用安全性评估人员测评能力考核。</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要求：除实际的服务工作，本项目须提交文档成果，包括纸质文档装订成册3套，电子文档1套（电子版与纸质版内容一致），包括但不限于以下文档成果：密码应用测评方案、密码应用测评记录、密码应用测评报告（需包含测评依据、测评过程、测评内容、测评结果及测评结论）、密码应用测评整改建议。 验收标准：最终输出被评估系统《系统整改建议》、《商用密码应用方案评估报告》、《商用密码应用安全性评估报告》，并经委托方审核通过。 验收依据：竞争性磋商文件、响应文件、澄清表（函）；采购合同、附件文本及成果文件； 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中标单位须在中标公示发出后3个工作日内，递交纸质版投标文件4份至代理公司。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及在本单位近3个月内任意一个月的社保证明），法定代表人直接参加磋商，须提供法定代表人身份证明及在本单位近3个月内任意一个月的社保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 （成立时间至提交响应文件截止时间不足一 年的可提供成立后任意时段的资产负债表）或开标 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提供近一年已缴纳的至少一个月纳税证明或完税证明，依法免税或无须缴纳税收的供应商，应提供相应证明文件；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 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供应商在递交响应文件截止时间前不得被“信用中国” 网站和“ 中国政府采购网”上列入失信被执行人、重大税收违法主体、政府采购严重违法失信行为记录名单；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供应商提供有效的《商用密码检测机构资质证书》；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中小企业承诺函</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响应文件的完整性（响应文件内容齐全、格式完整）</w:t>
            </w:r>
          </w:p>
        </w:tc>
        <w:tc>
          <w:tcPr>
            <w:tcW w:type="dxa" w:w="1661"/>
          </w:tcPr>
          <w:p>
            <w:pPr>
              <w:pStyle w:val="null3"/>
            </w:pPr>
            <w:r>
              <w:rPr>
                <w:rFonts w:ascii="仿宋_GB2312" w:hAnsi="仿宋_GB2312" w:cs="仿宋_GB2312" w:eastAsia="仿宋_GB2312"/>
              </w:rPr>
              <w:t>响应文件封面 服务方案说明书.docx 服务内容及服务邀请应答表 中小企业声明函 特定资格证明文件.docx 标的清单 供应商应提交的相关资格证明材料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响应文件的有效性（签字、时间、盖章等）</w:t>
            </w:r>
          </w:p>
        </w:tc>
        <w:tc>
          <w:tcPr>
            <w:tcW w:type="dxa" w:w="1661"/>
          </w:tcPr>
          <w:p>
            <w:pPr>
              <w:pStyle w:val="null3"/>
            </w:pPr>
            <w:r>
              <w:rPr>
                <w:rFonts w:ascii="仿宋_GB2312" w:hAnsi="仿宋_GB2312" w:cs="仿宋_GB2312" w:eastAsia="仿宋_GB2312"/>
              </w:rPr>
              <w:t>服务方案说明书.docx 响应文件封面 服务内容及服务邀请应答表 中小企业声明函 特定资格证明文件.docx 供应商应提交的相关资格证明材料 标的清单 响应函 陕西省政府采购供应商拒绝政府采购领域商业贿赂承诺书.docx 其他.docx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响应文件的响应性（是否存在实质性偏离、缺项、漏项等）</w:t>
            </w:r>
          </w:p>
        </w:tc>
        <w:tc>
          <w:tcPr>
            <w:tcW w:type="dxa" w:w="1661"/>
          </w:tcPr>
          <w:p>
            <w:pPr>
              <w:pStyle w:val="null3"/>
            </w:pPr>
            <w:r>
              <w:rPr>
                <w:rFonts w:ascii="仿宋_GB2312" w:hAnsi="仿宋_GB2312" w:cs="仿宋_GB2312" w:eastAsia="仿宋_GB2312"/>
              </w:rPr>
              <w:t>服务内容及服务邀请应答表 中小企业声明函 供应商应提交的相关资格证明材料 响应函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项目理解程度</w:t>
            </w:r>
          </w:p>
        </w:tc>
        <w:tc>
          <w:tcPr>
            <w:tcW w:type="dxa" w:w="2492"/>
          </w:tcPr>
          <w:p>
            <w:pPr>
              <w:pStyle w:val="null3"/>
            </w:pPr>
            <w:r>
              <w:rPr>
                <w:rFonts w:ascii="仿宋_GB2312" w:hAnsi="仿宋_GB2312" w:cs="仿宋_GB2312" w:eastAsia="仿宋_GB2312"/>
              </w:rPr>
              <w:t>针对该项目的密码评估总体把握和 理解，对该项目密码评估建设目标 、建设内容、项目特点、技术难点 和重点的理解；理解全面，思路清晰、完全符合项目实际，计6.1-9分； 理解较全面，与实际情况有差距，计3.1-6分； 理解不全面，不符合项目实际计0-3分。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测评方案</w:t>
            </w:r>
          </w:p>
        </w:tc>
        <w:tc>
          <w:tcPr>
            <w:tcW w:type="dxa" w:w="2492"/>
          </w:tcPr>
          <w:p>
            <w:pPr>
              <w:pStyle w:val="null3"/>
            </w:pPr>
            <w:r>
              <w:rPr>
                <w:rFonts w:ascii="仿宋_GB2312" w:hAnsi="仿宋_GB2312" w:cs="仿宋_GB2312" w:eastAsia="仿宋_GB2312"/>
              </w:rPr>
              <w:t>供应商根据招标要求，提供详细的测评方案，内容至少包括①测评流程②测评方法③实施计划④项目组织⑤项目交付⑥培训方案等，且方案描述详细，测评指标选取合理，测评内容及方法明确，服务条理清晰，满足技术规范要求，根据响应程度计： 方案内容清晰完整，描述详细，针对性强，没有缺漏项得12.1-18分； 方案内容较完整，方案描述较详细一般，测评内容及方法基本明确得6.1-12分； 方案内容不完整、存在严重缺项，得 0-6分；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供应商提供针对本项目的保密方案，方案至少包含:①相应的保密措施及保密管理制度等:②保密承诺;③保密信息范围及保密主体等内容。 方案详细完整且针对性强无缺漏计6.1-9分； 方案基本完整，基本贴合本项目计3.1-6分； 方案简单有缺漏项计0-3分；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整改处置方案</w:t>
            </w:r>
          </w:p>
        </w:tc>
        <w:tc>
          <w:tcPr>
            <w:tcW w:type="dxa" w:w="2492"/>
          </w:tcPr>
          <w:p>
            <w:pPr>
              <w:pStyle w:val="null3"/>
            </w:pPr>
            <w:r>
              <w:rPr>
                <w:rFonts w:ascii="仿宋_GB2312" w:hAnsi="仿宋_GB2312" w:cs="仿宋_GB2312" w:eastAsia="仿宋_GB2312"/>
              </w:rPr>
              <w:t>应制定测评对象未通过测评的整改处置方案，方案中应详细描述未通过原因及相应的处置建议，根据响应程度计： 方案详细，处置措施完善得6.1-9分； 方案较详细，处置措施较完善得3.1-6分； 方案详细度较差、处置措施不完善得0-3分。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制定应急处置方案，应对服务过程中的安全风险，解决服务过程中出现的安全事件，根据响应程度： 方案完整，切实可行得6.1-9分； 方案较完整，可行性一般得3.1-6分； 方案完整性较差、可行性较差得0-3分。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为保障在测评项目结束后的数据和信息安全，供应商须提供完善的售后服务，包括安全监测、电话支持服务、配合检查服务、安全咨询服务等内容，能提供以上服务和时限并做出相应说明，服务内容完善并有详细的说明。 方案详细且针对性强无缺漏计6.1-9分； 方案基本完整，基本贴合本项目计3.1-6分； 方案简单或针对性一般计0-3分；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供应商具备密码测评相关的计算机软件著作权登记证书（供应商自主研发的提供证书的著作权人须与供应商名称一致），每提供一项计1分，最高计2分； 供应商具备密码工具或者测评技术相关的发明专利，每项计1分，最高计3分。 注：以上须提供有效期内的相关证书复印件并加盖公章，未提供或不符合要求者不予计分。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应具有商用密码应用安全性评估从业人员考核合格证证书、注册信息安全工程师（CISP）、省级以上密码科学相关的奖励证书、信息安全保障人员（CISAW）证书； 以上证书每提供一个得1分，最多得4分。 评审依据：需提供加盖公章的身份证复印件、社保证明（供应商为其人员缴纳近三个月的任意1个月）及相关证书复印件，未提供视为无效证明。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项目团队人员（除项目负责人外）配置充足、具备丰富从业经验，团队人员具有以下证书：1、注册信息安全工程师（CISP）； 2、密码技术应用员； 3、信息安全保障人员证书； 4、商用密码应用安全性评估从业人员考核合格证； 以上证书每提供一个得1分，最多得7分。未提供不得分。同一人员具有多个证书的不累计计分，同一证书提供多次的不累计计分。 评审依据：需提供加盖公章的身份证复印件、社保证明（供应商为其人员缴纳近三个月的任意1个月）及相关证书复印件，未提供视为无效证明。</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1．供应商具备IEC27001信息技术服务管理体系认证证书得2分，无得0分； 2.供应商具备ISO/IEC20000资质证书得2分，无得0分； 3.供应商具有IS09001质量管理体系认证证书得2分，无得0分；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供应商提供自2022年8月1日至今承担过的同类项目业绩（以合同签订时间为准），每个业绩得1分，最高得5分。 评审依据：须提供完整清晰的合同复印件并加盖公章。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价格分采用低价优先法计算，即满足招标文件要求且投标价格最低的投标报价为评标基准价，其他投标人的价格分按照下列公式计算： 价格分=（评标基准价/投标报价）×10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详见附件：服务方案说明书.docx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详见附件：8.8采购合同范本.docx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