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3BFF4">
      <w:pPr>
        <w:spacing w:before="120" w:line="360" w:lineRule="auto"/>
        <w:jc w:val="left"/>
        <w:rPr>
          <w:rFonts w:hint="eastAsia" w:ascii="宋体" w:hAnsi="宋体" w:eastAsia="宋体" w:cs="宋体"/>
          <w:b/>
          <w:bCs/>
          <w:color w:val="auto"/>
          <w:sz w:val="44"/>
          <w:szCs w:val="44"/>
          <w:highlight w:val="none"/>
          <w:lang w:eastAsia="zh-CN"/>
        </w:rPr>
      </w:pPr>
      <w:bookmarkStart w:id="0" w:name="_Toc109542396"/>
      <w:bookmarkStart w:id="1" w:name="_Toc109543216"/>
      <w:r>
        <w:rPr>
          <w:rFonts w:hint="eastAsia" w:ascii="宋体" w:hAnsi="宋体" w:eastAsia="宋体" w:cs="宋体"/>
          <w:b/>
          <w:bCs/>
          <w:color w:val="auto"/>
          <w:sz w:val="28"/>
          <w:szCs w:val="28"/>
          <w:highlight w:val="none"/>
          <w:lang w:eastAsia="zh-CN"/>
        </w:rPr>
        <w:t>合同编号：</w:t>
      </w:r>
    </w:p>
    <w:p w14:paraId="2D87EDCC">
      <w:pPr>
        <w:spacing w:before="120" w:line="360" w:lineRule="auto"/>
        <w:jc w:val="center"/>
        <w:rPr>
          <w:rFonts w:hint="eastAsia" w:ascii="宋体" w:hAnsi="宋体" w:eastAsia="宋体" w:cs="宋体"/>
          <w:b/>
          <w:bCs/>
          <w:color w:val="auto"/>
          <w:sz w:val="44"/>
          <w:szCs w:val="44"/>
          <w:highlight w:val="none"/>
          <w:lang w:eastAsia="zh-CN"/>
        </w:rPr>
      </w:pPr>
    </w:p>
    <w:p w14:paraId="384E5647">
      <w:pPr>
        <w:pStyle w:val="4"/>
        <w:jc w:val="center"/>
        <w:rPr>
          <w:rFonts w:hint="eastAsia" w:ascii="宋体" w:hAnsi="宋体" w:eastAsia="宋体" w:cs="宋体"/>
          <w:b/>
          <w:bCs/>
          <w:color w:val="auto"/>
          <w:sz w:val="44"/>
          <w:szCs w:val="44"/>
          <w:highlight w:val="none"/>
          <w:lang w:val="en-US" w:eastAsia="zh-CN"/>
        </w:rPr>
      </w:pPr>
    </w:p>
    <w:p w14:paraId="07A75577">
      <w:pPr>
        <w:pStyle w:val="4"/>
        <w:jc w:val="center"/>
        <w:rPr>
          <w:rFonts w:hint="eastAsia" w:ascii="宋体" w:hAnsi="宋体" w:eastAsia="宋体" w:cs="宋体"/>
          <w:b/>
          <w:bCs/>
          <w:color w:val="auto"/>
          <w:sz w:val="80"/>
          <w:szCs w:val="80"/>
          <w:highlight w:val="none"/>
        </w:rPr>
      </w:pPr>
      <w:r>
        <w:rPr>
          <w:rFonts w:hint="eastAsia" w:ascii="宋体" w:hAnsi="宋体" w:eastAsia="宋体" w:cs="宋体"/>
          <w:b/>
          <w:bCs/>
          <w:color w:val="auto"/>
          <w:sz w:val="80"/>
          <w:szCs w:val="80"/>
          <w:highlight w:val="none"/>
          <w:lang w:val="en-US" w:eastAsia="zh-CN"/>
        </w:rPr>
        <w:t>西安智慧应急平台密码测评项目</w:t>
      </w:r>
    </w:p>
    <w:p w14:paraId="17D6C8C8">
      <w:pPr>
        <w:spacing w:before="120" w:line="360" w:lineRule="auto"/>
        <w:jc w:val="center"/>
        <w:rPr>
          <w:rFonts w:hint="eastAsia" w:ascii="宋体" w:hAnsi="宋体" w:eastAsia="宋体" w:cs="宋体"/>
          <w:b/>
          <w:bCs/>
          <w:color w:val="auto"/>
          <w:sz w:val="36"/>
          <w:szCs w:val="36"/>
          <w:highlight w:val="none"/>
        </w:rPr>
      </w:pPr>
    </w:p>
    <w:p w14:paraId="341B092C">
      <w:pPr>
        <w:spacing w:before="120" w:line="360" w:lineRule="auto"/>
        <w:jc w:val="both"/>
        <w:rPr>
          <w:rFonts w:hint="eastAsia" w:ascii="宋体" w:hAnsi="宋体" w:eastAsia="宋体" w:cs="宋体"/>
          <w:b/>
          <w:bCs/>
          <w:color w:val="auto"/>
          <w:sz w:val="36"/>
          <w:szCs w:val="36"/>
          <w:highlight w:val="none"/>
        </w:rPr>
      </w:pPr>
    </w:p>
    <w:p w14:paraId="75D02A83">
      <w:pPr>
        <w:pStyle w:val="9"/>
        <w:rPr>
          <w:rFonts w:hint="eastAsia"/>
        </w:rPr>
      </w:pPr>
    </w:p>
    <w:p w14:paraId="388EF701">
      <w:pPr>
        <w:spacing w:before="120"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政府采购合同</w:t>
      </w:r>
    </w:p>
    <w:bookmarkEnd w:id="0"/>
    <w:bookmarkEnd w:id="1"/>
    <w:p w14:paraId="01B88F37">
      <w:pPr>
        <w:spacing w:before="120" w:line="360" w:lineRule="auto"/>
        <w:jc w:val="center"/>
        <w:rPr>
          <w:rFonts w:hint="eastAsia" w:ascii="宋体" w:hAnsi="宋体" w:eastAsia="宋体" w:cs="宋体"/>
          <w:color w:val="auto"/>
          <w:sz w:val="28"/>
          <w:szCs w:val="28"/>
          <w:highlight w:val="none"/>
          <w:lang w:eastAsia="zh-CN"/>
        </w:rPr>
      </w:pPr>
    </w:p>
    <w:p w14:paraId="545A45DF">
      <w:pPr>
        <w:spacing w:before="120" w:line="360" w:lineRule="auto"/>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b/>
          <w:bCs/>
          <w:color w:val="auto"/>
          <w:sz w:val="28"/>
          <w:szCs w:val="28"/>
          <w:highlight w:val="none"/>
        </w:rPr>
        <w:t xml:space="preserve">  </w:t>
      </w:r>
    </w:p>
    <w:p w14:paraId="3DEB31F4">
      <w:pPr>
        <w:spacing w:before="120" w:line="360" w:lineRule="auto"/>
        <w:rPr>
          <w:rFonts w:hint="eastAsia" w:ascii="宋体" w:hAnsi="宋体" w:eastAsia="宋体" w:cs="宋体"/>
          <w:b/>
          <w:bCs/>
          <w:color w:val="auto"/>
          <w:sz w:val="28"/>
          <w:szCs w:val="28"/>
          <w:highlight w:val="none"/>
        </w:rPr>
      </w:pPr>
    </w:p>
    <w:p w14:paraId="54142E37">
      <w:pPr>
        <w:jc w:val="both"/>
        <w:rPr>
          <w:rFonts w:hint="eastAsia" w:ascii="宋体" w:hAnsi="宋体" w:eastAsia="宋体" w:cs="宋体"/>
          <w:b/>
          <w:color w:val="auto"/>
          <w:szCs w:val="24"/>
          <w:highlight w:val="none"/>
        </w:rPr>
      </w:pPr>
    </w:p>
    <w:p w14:paraId="6E1C76E0">
      <w:pPr>
        <w:jc w:val="center"/>
        <w:rPr>
          <w:rFonts w:hint="eastAsia" w:ascii="宋体" w:hAnsi="宋体" w:eastAsia="宋体" w:cs="宋体"/>
          <w:b/>
          <w:color w:val="auto"/>
          <w:szCs w:val="24"/>
          <w:highlight w:val="none"/>
        </w:rPr>
      </w:pPr>
    </w:p>
    <w:p w14:paraId="6603C43E">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 xml:space="preserve">             </w:t>
      </w:r>
    </w:p>
    <w:p w14:paraId="68E56A0B">
      <w:pPr>
        <w:keepNext w:val="0"/>
        <w:keepLines w:val="0"/>
        <w:pageBreakBefore w:val="0"/>
        <w:widowControl w:val="0"/>
        <w:kinsoku/>
        <w:wordWrap/>
        <w:overflowPunct/>
        <w:topLinePunct w:val="0"/>
        <w:autoSpaceDE/>
        <w:autoSpaceDN/>
        <w:bidi w:val="0"/>
        <w:adjustRightInd/>
        <w:snapToGrid w:val="0"/>
        <w:spacing w:line="480" w:lineRule="auto"/>
        <w:ind w:left="1260" w:leftChars="0" w:firstLine="420" w:firstLineChars="0"/>
        <w:textAlignment w:val="auto"/>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甲    方：</w:t>
      </w:r>
      <w:r>
        <w:rPr>
          <w:rFonts w:hint="eastAsia" w:ascii="宋体" w:hAnsi="宋体" w:eastAsia="宋体" w:cs="宋体"/>
          <w:b/>
          <w:color w:val="auto"/>
          <w:spacing w:val="20"/>
          <w:sz w:val="32"/>
          <w:szCs w:val="32"/>
          <w:highlight w:val="none"/>
          <w:lang w:eastAsia="zh-CN"/>
        </w:rPr>
        <w:t>西安市应急管理局</w:t>
      </w:r>
    </w:p>
    <w:p w14:paraId="05138AC6">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 xml:space="preserve">         乙    方：                       </w:t>
      </w:r>
    </w:p>
    <w:p w14:paraId="6DB145EB">
      <w:pPr>
        <w:keepNext w:val="0"/>
        <w:keepLines w:val="0"/>
        <w:pageBreakBefore w:val="0"/>
        <w:widowControl w:val="0"/>
        <w:kinsoku/>
        <w:wordWrap/>
        <w:overflowPunct/>
        <w:topLinePunct w:val="0"/>
        <w:autoSpaceDE/>
        <w:autoSpaceDN/>
        <w:bidi w:val="0"/>
        <w:adjustRightInd/>
        <w:snapToGrid w:val="0"/>
        <w:spacing w:line="480" w:lineRule="auto"/>
        <w:ind w:firstLine="1806" w:firstLineChars="500"/>
        <w:textAlignment w:val="auto"/>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签订时间：二</w:t>
      </w:r>
      <w:r>
        <w:rPr>
          <w:rFonts w:hint="eastAsia" w:ascii="宋体" w:hAnsi="宋体" w:cs="宋体"/>
          <w:b/>
          <w:color w:val="auto"/>
          <w:spacing w:val="20"/>
          <w:sz w:val="32"/>
          <w:szCs w:val="32"/>
          <w:highlight w:val="none"/>
          <w:lang w:val="en-US" w:eastAsia="zh-CN"/>
        </w:rPr>
        <w:t>〇</w:t>
      </w:r>
      <w:r>
        <w:rPr>
          <w:rFonts w:hint="eastAsia" w:ascii="宋体" w:hAnsi="宋体" w:eastAsia="宋体" w:cs="宋体"/>
          <w:b/>
          <w:color w:val="auto"/>
          <w:spacing w:val="20"/>
          <w:sz w:val="32"/>
          <w:szCs w:val="32"/>
          <w:highlight w:val="none"/>
        </w:rPr>
        <w:t>二</w:t>
      </w:r>
      <w:r>
        <w:rPr>
          <w:rFonts w:hint="eastAsia" w:ascii="宋体" w:hAnsi="宋体" w:cs="宋体"/>
          <w:b/>
          <w:color w:val="auto"/>
          <w:spacing w:val="20"/>
          <w:sz w:val="32"/>
          <w:szCs w:val="32"/>
          <w:highlight w:val="none"/>
          <w:lang w:val="en-US" w:eastAsia="zh-CN"/>
        </w:rPr>
        <w:t>五</w:t>
      </w:r>
      <w:r>
        <w:rPr>
          <w:rFonts w:hint="eastAsia" w:ascii="宋体" w:hAnsi="宋体" w:eastAsia="宋体" w:cs="宋体"/>
          <w:b/>
          <w:color w:val="auto"/>
          <w:spacing w:val="20"/>
          <w:sz w:val="32"/>
          <w:szCs w:val="32"/>
          <w:highlight w:val="none"/>
        </w:rPr>
        <w:t>年X月X日</w:t>
      </w:r>
    </w:p>
    <w:p w14:paraId="2B4EF322">
      <w:pPr>
        <w:autoSpaceDE w:val="0"/>
        <w:autoSpaceDN w:val="0"/>
        <w:adjustRightInd w:val="0"/>
        <w:spacing w:line="48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highlight w:val="none"/>
        </w:rPr>
        <w:br w:type="page"/>
      </w:r>
      <w:r>
        <w:rPr>
          <w:rFonts w:hint="eastAsia" w:ascii="宋体" w:hAnsi="宋体" w:eastAsia="宋体" w:cs="宋体"/>
          <w:color w:val="auto"/>
          <w:szCs w:val="24"/>
          <w:highlight w:val="none"/>
        </w:rPr>
        <w:t>依据《</w:t>
      </w:r>
      <w:r>
        <w:rPr>
          <w:rFonts w:hint="eastAsia" w:ascii="宋体" w:hAnsi="宋体" w:eastAsia="宋体" w:cs="宋体"/>
          <w:color w:val="auto"/>
          <w:spacing w:val="-2"/>
          <w:kern w:val="0"/>
          <w:highlight w:val="none"/>
        </w:rPr>
        <w:t>中华人民共和国民法典</w:t>
      </w:r>
      <w:r>
        <w:rPr>
          <w:rFonts w:hint="eastAsia" w:ascii="宋体" w:hAnsi="宋体" w:eastAsia="宋体" w:cs="宋体"/>
          <w:color w:val="auto"/>
          <w:szCs w:val="24"/>
          <w:highlight w:val="none"/>
        </w:rPr>
        <w:t>》、《中华人民共和国政府采购法》与项目行业有关的法律法规，以及</w:t>
      </w:r>
      <w:r>
        <w:rPr>
          <w:rFonts w:hint="eastAsia" w:ascii="宋体" w:hAnsi="宋体" w:cs="宋体"/>
          <w:bCs/>
          <w:color w:val="auto"/>
          <w:szCs w:val="24"/>
          <w:highlight w:val="none"/>
          <w:lang w:eastAsia="zh-CN"/>
        </w:rPr>
        <w:t>西安智慧应急平台密码测评项目</w:t>
      </w:r>
      <w:r>
        <w:rPr>
          <w:rFonts w:hint="eastAsia" w:ascii="宋体" w:hAnsi="宋体" w:eastAsia="宋体" w:cs="宋体"/>
          <w:color w:val="auto"/>
          <w:szCs w:val="24"/>
          <w:highlight w:val="none"/>
        </w:rPr>
        <w:t>（项目编号：</w:t>
      </w:r>
      <w:r>
        <w:rPr>
          <w:rFonts w:hint="eastAsia" w:ascii="宋体" w:hAnsi="宋体" w:cs="宋体"/>
          <w:color w:val="auto"/>
          <w:szCs w:val="24"/>
          <w:highlight w:val="none"/>
          <w:lang w:eastAsia="zh-CN"/>
        </w:rPr>
        <w:t>JHZY-ZB-2025-016</w:t>
      </w:r>
      <w:r>
        <w:rPr>
          <w:rFonts w:hint="eastAsia" w:ascii="宋体" w:hAnsi="宋体" w:eastAsia="宋体" w:cs="宋体"/>
          <w:color w:val="auto"/>
          <w:szCs w:val="24"/>
          <w:highlight w:val="none"/>
        </w:rPr>
        <w:t>）的服务合同，甲、乙双方同意签订本合同。详细技术说明及其他有关合同项目的特定信息由合同附件予以说明，合同、附件及原有《</w:t>
      </w:r>
      <w:r>
        <w:rPr>
          <w:rFonts w:hint="eastAsia" w:ascii="宋体" w:hAnsi="宋体" w:cs="宋体"/>
          <w:color w:val="auto"/>
          <w:szCs w:val="24"/>
          <w:highlight w:val="none"/>
          <w:lang w:val="en-US" w:eastAsia="zh-CN"/>
        </w:rPr>
        <w:t>采购</w:t>
      </w:r>
      <w:r>
        <w:rPr>
          <w:rFonts w:hint="eastAsia" w:ascii="宋体" w:hAnsi="宋体" w:eastAsia="宋体" w:cs="宋体"/>
          <w:color w:val="auto"/>
          <w:szCs w:val="24"/>
          <w:highlight w:val="none"/>
        </w:rPr>
        <w:t>文件》、《</w:t>
      </w:r>
      <w:r>
        <w:rPr>
          <w:rFonts w:hint="eastAsia" w:ascii="宋体" w:hAnsi="宋体" w:cs="宋体"/>
          <w:color w:val="auto"/>
          <w:szCs w:val="24"/>
          <w:highlight w:val="none"/>
          <w:lang w:val="en-US" w:eastAsia="zh-CN"/>
        </w:rPr>
        <w:t>响应</w:t>
      </w:r>
      <w:r>
        <w:rPr>
          <w:rFonts w:hint="eastAsia" w:ascii="宋体" w:hAnsi="宋体" w:eastAsia="宋体" w:cs="宋体"/>
          <w:color w:val="auto"/>
          <w:szCs w:val="24"/>
          <w:highlight w:val="none"/>
        </w:rPr>
        <w:t>文件》、《</w:t>
      </w:r>
      <w:r>
        <w:rPr>
          <w:rFonts w:hint="eastAsia" w:ascii="宋体" w:hAnsi="宋体" w:cs="宋体"/>
          <w:color w:val="auto"/>
          <w:szCs w:val="24"/>
          <w:highlight w:val="none"/>
          <w:lang w:val="en-US" w:eastAsia="zh-CN"/>
        </w:rPr>
        <w:t>成交</w:t>
      </w:r>
      <w:r>
        <w:rPr>
          <w:rFonts w:hint="eastAsia" w:ascii="宋体" w:hAnsi="宋体" w:eastAsia="宋体" w:cs="宋体"/>
          <w:color w:val="auto"/>
          <w:szCs w:val="24"/>
          <w:highlight w:val="none"/>
        </w:rPr>
        <w:t>通知书》等均为本合同的组成部分。</w:t>
      </w:r>
    </w:p>
    <w:p w14:paraId="3677AA23">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color w:val="auto"/>
          <w:highlight w:val="none"/>
        </w:rPr>
      </w:pPr>
      <w:r>
        <w:rPr>
          <w:rFonts w:hint="eastAsia" w:ascii="宋体" w:hAnsi="宋体" w:eastAsia="宋体" w:cs="宋体"/>
          <w:b/>
          <w:bCs/>
          <w:color w:val="auto"/>
          <w:szCs w:val="24"/>
          <w:highlight w:val="none"/>
        </w:rPr>
        <w:t>（一）</w:t>
      </w:r>
      <w:r>
        <w:rPr>
          <w:rFonts w:hint="eastAsia" w:ascii="宋体" w:hAnsi="宋体" w:eastAsia="宋体" w:cs="宋体"/>
          <w:color w:val="auto"/>
          <w:highlight w:val="none"/>
        </w:rPr>
        <w:t>甲方：</w:t>
      </w:r>
      <w:r>
        <w:rPr>
          <w:rFonts w:hint="eastAsia" w:ascii="宋体" w:hAnsi="宋体" w:eastAsia="宋体" w:cs="宋体"/>
          <w:color w:val="auto"/>
          <w:highlight w:val="none"/>
          <w:u w:val="single"/>
          <w:lang w:val="en-US" w:eastAsia="zh-CN"/>
        </w:rPr>
        <w:t xml:space="preserve"> 西安市应急管理局   </w:t>
      </w:r>
    </w:p>
    <w:p w14:paraId="75BBA836">
      <w:pPr>
        <w:adjustRightInd/>
        <w:snapToGrid/>
        <w:spacing w:line="50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统一社会信用代码：</w:t>
      </w:r>
    </w:p>
    <w:p w14:paraId="757ACF1E">
      <w:pPr>
        <w:adjustRightInd/>
        <w:snapToGrid/>
        <w:spacing w:line="50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法定代表人：</w:t>
      </w:r>
    </w:p>
    <w:p w14:paraId="591F2F9E">
      <w:pPr>
        <w:adjustRightInd/>
        <w:snapToGrid/>
        <w:spacing w:line="5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联系电话：</w:t>
      </w:r>
      <w:r>
        <w:rPr>
          <w:rFonts w:hint="eastAsia" w:ascii="宋体" w:hAnsi="宋体" w:eastAsia="宋体" w:cs="宋体"/>
          <w:bCs/>
          <w:color w:val="auto"/>
          <w:sz w:val="24"/>
          <w:highlight w:val="none"/>
        </w:rPr>
        <w:t xml:space="preserve"> </w:t>
      </w:r>
    </w:p>
    <w:p w14:paraId="095058FF">
      <w:pPr>
        <w:pStyle w:val="10"/>
        <w:keepNext w:val="0"/>
        <w:keepLines w:val="0"/>
        <w:pageBreakBefore w:val="0"/>
        <w:kinsoku/>
        <w:wordWrap/>
        <w:overflowPunct/>
        <w:topLinePunct w:val="0"/>
        <w:autoSpaceDE/>
        <w:autoSpaceDN/>
        <w:bidi w:val="0"/>
        <w:spacing w:line="500" w:lineRule="exact"/>
        <w:ind w:firstLine="480"/>
        <w:textAlignment w:val="auto"/>
        <w:rPr>
          <w:rFonts w:hint="eastAsia" w:ascii="宋体" w:hAnsi="宋体" w:eastAsia="宋体" w:cs="宋体"/>
          <w:color w:val="auto"/>
          <w:sz w:val="24"/>
          <w:highlight w:val="none"/>
        </w:rPr>
      </w:pPr>
    </w:p>
    <w:p w14:paraId="6E0C9601">
      <w:pPr>
        <w:pStyle w:val="10"/>
        <w:keepNext w:val="0"/>
        <w:keepLines w:val="0"/>
        <w:pageBreakBefore w:val="0"/>
        <w:kinsoku/>
        <w:wordWrap/>
        <w:overflowPunct/>
        <w:topLinePunct w:val="0"/>
        <w:autoSpaceDE/>
        <w:autoSpaceDN/>
        <w:bidi w:val="0"/>
        <w:spacing w:line="500" w:lineRule="exact"/>
        <w:ind w:firstLine="48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乙方：</w:t>
      </w:r>
      <w:r>
        <w:rPr>
          <w:rFonts w:hint="eastAsia" w:ascii="宋体" w:hAnsi="宋体" w:eastAsia="宋体" w:cs="宋体"/>
          <w:color w:val="auto"/>
          <w:sz w:val="24"/>
          <w:highlight w:val="none"/>
          <w:u w:val="single"/>
        </w:rPr>
        <w:t>xxx公司（全称）</w:t>
      </w:r>
    </w:p>
    <w:p w14:paraId="6C37DC2F">
      <w:pPr>
        <w:adjustRightInd/>
        <w:snapToGrid/>
        <w:spacing w:line="50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统一社会信用代码：</w:t>
      </w:r>
    </w:p>
    <w:p w14:paraId="6F315F6B">
      <w:pPr>
        <w:adjustRightInd/>
        <w:snapToGrid/>
        <w:spacing w:line="50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法定代表人：</w:t>
      </w:r>
    </w:p>
    <w:p w14:paraId="34506D1D">
      <w:pPr>
        <w:adjustRightInd/>
        <w:snapToGrid/>
        <w:spacing w:line="5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联系电话：</w:t>
      </w:r>
      <w:r>
        <w:rPr>
          <w:rFonts w:hint="eastAsia" w:ascii="宋体" w:hAnsi="宋体" w:eastAsia="宋体" w:cs="宋体"/>
          <w:bCs/>
          <w:color w:val="auto"/>
          <w:sz w:val="24"/>
          <w:highlight w:val="none"/>
        </w:rPr>
        <w:t xml:space="preserve"> </w:t>
      </w:r>
    </w:p>
    <w:p w14:paraId="06745E83">
      <w:pPr>
        <w:spacing w:line="480" w:lineRule="exact"/>
        <w:ind w:firstLine="1205" w:firstLineChars="500"/>
        <w:rPr>
          <w:rFonts w:hint="eastAsia" w:ascii="宋体" w:hAnsi="宋体" w:eastAsia="宋体" w:cs="宋体"/>
          <w:b/>
          <w:bCs/>
          <w:color w:val="auto"/>
          <w:szCs w:val="24"/>
          <w:highlight w:val="none"/>
        </w:rPr>
      </w:pPr>
    </w:p>
    <w:p w14:paraId="1CB81EEC">
      <w:pPr>
        <w:spacing w:line="480" w:lineRule="exact"/>
        <w:ind w:firstLine="482" w:firstLineChars="200"/>
        <w:rPr>
          <w:rFonts w:hint="eastAsia" w:ascii="宋体" w:hAnsi="宋体" w:eastAsia="宋体" w:cs="宋体"/>
          <w:color w:val="auto"/>
          <w:szCs w:val="24"/>
          <w:highlight w:val="none"/>
        </w:rPr>
      </w:pPr>
      <w:r>
        <w:rPr>
          <w:rFonts w:hint="eastAsia" w:ascii="宋体" w:hAnsi="宋体" w:eastAsia="宋体" w:cs="宋体"/>
          <w:b/>
          <w:bCs/>
          <w:color w:val="auto"/>
          <w:szCs w:val="24"/>
          <w:highlight w:val="none"/>
        </w:rPr>
        <w:t>（二）服务内容</w:t>
      </w:r>
    </w:p>
    <w:p w14:paraId="5B336FF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按照《西安市信息化项目管理办法(暂行)》相关要求，西安市应急管理局在现有信息系统的基础上，构建以监督管理、监测预警、指挥教援、防灾减灾、政务管理五大板块业务系统为主体的西安智慧应急平台。依据GM/T39786-2021《信息系统密码应用基本要求》，对西安智慧应急平台进行密码应用安全性评估，重点对其密码应用的合规性、正确性和有效性进行评估，有效控制安全风险，切实保障该平台的网络和信息安全。</w:t>
      </w:r>
    </w:p>
    <w:p w14:paraId="1F12CCEA">
      <w:pPr>
        <w:spacing w:line="480" w:lineRule="exact"/>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（三）合同金额 ：</w:t>
      </w:r>
    </w:p>
    <w:p w14:paraId="03CEA762">
      <w:pPr>
        <w:spacing w:line="480" w:lineRule="exact"/>
        <w:ind w:firstLine="480" w:firstLineChars="200"/>
        <w:rPr>
          <w:rFonts w:ascii="宋体" w:hAnsi="宋体" w:eastAsia="宋体" w:cs="宋体"/>
          <w:b/>
          <w:bCs/>
          <w:color w:val="auto"/>
          <w:szCs w:val="24"/>
          <w:highlight w:val="none"/>
        </w:rPr>
      </w:pPr>
      <w:bookmarkStart w:id="2" w:name="_Toc9904"/>
      <w:bookmarkStart w:id="3" w:name="_Toc1493"/>
      <w:bookmarkStart w:id="4" w:name="_Toc10566"/>
      <w:r>
        <w:rPr>
          <w:rFonts w:hint="eastAsia" w:ascii="宋体" w:hAnsi="宋体" w:eastAsia="宋体" w:cs="宋体"/>
          <w:bCs/>
          <w:color w:val="auto"/>
          <w:szCs w:val="24"/>
          <w:highlight w:val="none"/>
        </w:rPr>
        <w:t>合同</w:t>
      </w:r>
      <w:r>
        <w:rPr>
          <w:rFonts w:hint="eastAsia" w:ascii="宋体" w:hAnsi="宋体" w:eastAsia="宋体" w:cs="宋体"/>
          <w:b w:val="0"/>
          <w:bCs/>
          <w:color w:val="auto"/>
          <w:szCs w:val="24"/>
          <w:highlight w:val="none"/>
        </w:rPr>
        <w:t>价款为</w:t>
      </w:r>
      <w:r>
        <w:rPr>
          <w:rFonts w:hint="eastAsia" w:ascii="宋体" w:hAnsi="宋体" w:eastAsia="宋体" w:cs="宋体"/>
          <w:b w:val="0"/>
          <w:bCs/>
          <w:color w:val="auto"/>
          <w:szCs w:val="24"/>
          <w:highlight w:val="none"/>
          <w:u w:val="single"/>
          <w:lang w:val="en-US" w:eastAsia="zh-CN"/>
        </w:rPr>
        <w:t xml:space="preserve"> ¥         （大写：人民币        ）</w:t>
      </w:r>
      <w:r>
        <w:rPr>
          <w:rFonts w:ascii="宋体" w:hAnsi="宋体" w:eastAsia="宋体" w:cs="宋体"/>
          <w:b w:val="0"/>
          <w:bCs/>
          <w:color w:val="auto"/>
          <w:szCs w:val="24"/>
          <w:highlight w:val="none"/>
        </w:rPr>
        <w:t>（</w:t>
      </w:r>
      <w:r>
        <w:rPr>
          <w:rFonts w:hint="eastAsia" w:ascii="宋体" w:hAnsi="宋体" w:eastAsia="宋体" w:cs="宋体"/>
          <w:b w:val="0"/>
          <w:bCs/>
          <w:color w:val="auto"/>
          <w:szCs w:val="24"/>
          <w:highlight w:val="none"/>
          <w:lang w:eastAsia="zh-Hans"/>
        </w:rPr>
        <w:t>含税</w:t>
      </w:r>
      <w:r>
        <w:rPr>
          <w:rFonts w:ascii="宋体" w:hAnsi="宋体" w:eastAsia="宋体" w:cs="宋体"/>
          <w:b w:val="0"/>
          <w:bCs/>
          <w:color w:val="auto"/>
          <w:szCs w:val="24"/>
          <w:highlight w:val="none"/>
        </w:rPr>
        <w:t>）</w:t>
      </w:r>
      <w:r>
        <w:rPr>
          <w:rFonts w:hint="eastAsia" w:ascii="宋体" w:hAnsi="宋体" w:eastAsia="宋体" w:cs="宋体"/>
          <w:b w:val="0"/>
          <w:bCs/>
          <w:color w:val="auto"/>
          <w:szCs w:val="24"/>
          <w:highlight w:val="none"/>
          <w:lang w:eastAsia="zh-Hans"/>
        </w:rPr>
        <w:t>上述金额为履行本合同的全部费用</w:t>
      </w:r>
      <w:r>
        <w:rPr>
          <w:rFonts w:hint="eastAsia" w:ascii="宋体" w:hAnsi="宋体" w:eastAsia="宋体" w:cs="宋体"/>
          <w:b w:val="0"/>
          <w:bCs/>
          <w:color w:val="auto"/>
          <w:szCs w:val="24"/>
          <w:highlight w:val="none"/>
        </w:rPr>
        <w:t xml:space="preserve">。         </w:t>
      </w:r>
    </w:p>
    <w:p w14:paraId="15980C59">
      <w:pPr>
        <w:spacing w:line="480" w:lineRule="exact"/>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（四）结算方式：</w:t>
      </w:r>
      <w:bookmarkEnd w:id="2"/>
      <w:bookmarkEnd w:id="3"/>
      <w:bookmarkEnd w:id="4"/>
    </w:p>
    <w:p w14:paraId="5CBE82AB">
      <w:pPr>
        <w:keepNext w:val="0"/>
        <w:keepLines w:val="0"/>
        <w:pageBreakBefore w:val="0"/>
        <w:widowControl/>
        <w:numPr>
          <w:ilvl w:val="0"/>
          <w:numId w:val="0"/>
        </w:numPr>
        <w:kinsoku/>
        <w:wordWrap/>
        <w:overflowPunct/>
        <w:topLinePunct w:val="0"/>
        <w:autoSpaceDE/>
        <w:autoSpaceDN/>
        <w:bidi w:val="0"/>
        <w:spacing w:line="460" w:lineRule="atLeast"/>
        <w:ind w:firstLine="480" w:firstLineChars="200"/>
        <w:textAlignment w:val="auto"/>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1</w:t>
      </w:r>
      <w:r>
        <w:rPr>
          <w:rFonts w:hint="default"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rPr>
        <w:t>合同签订</w:t>
      </w:r>
      <w:r>
        <w:rPr>
          <w:rFonts w:hint="eastAsia" w:ascii="宋体" w:hAnsi="宋体" w:eastAsia="宋体" w:cs="宋体"/>
          <w:color w:val="auto"/>
          <w:sz w:val="24"/>
          <w:szCs w:val="24"/>
          <w:highlight w:val="none"/>
          <w:lang w:val="en-US" w:eastAsia="zh-CN"/>
        </w:rPr>
        <w:t>之日起</w:t>
      </w:r>
      <w:r>
        <w:rPr>
          <w:rFonts w:hint="default" w:ascii="宋体" w:hAnsi="宋体" w:eastAsia="宋体" w:cs="宋体"/>
          <w:color w:val="auto"/>
          <w:sz w:val="24"/>
          <w:szCs w:val="24"/>
          <w:highlight w:val="none"/>
        </w:rPr>
        <w:t>30天内，甲方向乙方支付合同总价款</w:t>
      </w:r>
      <w:r>
        <w:rPr>
          <w:rFonts w:hint="eastAsia" w:ascii="宋体" w:hAnsi="宋体" w:eastAsia="宋体" w:cs="宋体"/>
          <w:color w:val="auto"/>
          <w:sz w:val="24"/>
          <w:szCs w:val="24"/>
          <w:highlight w:val="none"/>
          <w:lang w:val="en-US" w:eastAsia="zh-CN"/>
        </w:rPr>
        <w:t>40</w:t>
      </w:r>
      <w:r>
        <w:rPr>
          <w:rFonts w:hint="default" w:ascii="宋体" w:hAnsi="宋体" w:eastAsia="宋体" w:cs="宋体"/>
          <w:color w:val="auto"/>
          <w:sz w:val="24"/>
          <w:szCs w:val="24"/>
          <w:highlight w:val="none"/>
        </w:rPr>
        <w:t>%作为预付款，乙方需提供相关收款依据。</w:t>
      </w:r>
    </w:p>
    <w:p w14:paraId="629FCCD3">
      <w:pPr>
        <w:numPr>
          <w:ilvl w:val="0"/>
          <w:numId w:val="0"/>
        </w:numPr>
        <w:spacing w:line="460" w:lineRule="atLeast"/>
        <w:ind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Cs w:val="24"/>
          <w:highlight w:val="none"/>
          <w:lang w:val="en-US" w:eastAsia="zh-CN"/>
        </w:rPr>
        <w:t>2.项目</w:t>
      </w:r>
      <w:r>
        <w:rPr>
          <w:rFonts w:hint="eastAsia" w:ascii="宋体" w:hAnsi="宋体" w:eastAsia="宋体" w:cs="宋体"/>
          <w:color w:val="auto"/>
          <w:szCs w:val="24"/>
          <w:highlight w:val="none"/>
          <w:lang w:val="en-US" w:eastAsia="zh-CN"/>
        </w:rPr>
        <w:t>完成终验合格之日起</w:t>
      </w:r>
      <w:r>
        <w:rPr>
          <w:rFonts w:hint="default" w:ascii="宋体" w:hAnsi="宋体" w:eastAsia="宋体" w:cs="宋体"/>
          <w:color w:val="auto"/>
          <w:sz w:val="24"/>
          <w:szCs w:val="24"/>
          <w:highlight w:val="none"/>
        </w:rPr>
        <w:t>30天内</w:t>
      </w:r>
      <w:r>
        <w:rPr>
          <w:rFonts w:hint="default" w:ascii="宋体" w:hAnsi="宋体" w:eastAsia="宋体" w:cs="宋体"/>
          <w:color w:val="auto"/>
          <w:sz w:val="24"/>
          <w:szCs w:val="24"/>
          <w:highlight w:val="none"/>
          <w:lang w:eastAsia="zh-CN"/>
        </w:rPr>
        <w:t>，</w:t>
      </w:r>
      <w:r>
        <w:rPr>
          <w:rFonts w:hint="default" w:ascii="宋体" w:hAnsi="宋体" w:eastAsia="宋体" w:cs="宋体"/>
          <w:color w:val="auto"/>
          <w:sz w:val="24"/>
          <w:szCs w:val="24"/>
          <w:highlight w:val="none"/>
        </w:rPr>
        <w:t>甲方向乙方支付合同总价款</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60</w:t>
      </w:r>
      <w:r>
        <w:rPr>
          <w:rFonts w:hint="default"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rPr>
        <w:t>，乙方需提供相关收款依据</w:t>
      </w:r>
      <w:r>
        <w:rPr>
          <w:rFonts w:hint="eastAsia" w:ascii="宋体" w:hAnsi="宋体" w:eastAsia="宋体" w:cs="宋体"/>
          <w:color w:val="auto"/>
          <w:sz w:val="24"/>
          <w:szCs w:val="24"/>
          <w:highlight w:val="none"/>
          <w:lang w:val="en-US" w:eastAsia="zh-CN"/>
        </w:rPr>
        <w:t>。</w:t>
      </w:r>
    </w:p>
    <w:p w14:paraId="3E4495BB">
      <w:pPr>
        <w:spacing w:line="500" w:lineRule="exact"/>
        <w:ind w:firstLine="488"/>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、支付方式：银行转账。</w:t>
      </w:r>
    </w:p>
    <w:p w14:paraId="007C423A">
      <w:pPr>
        <w:spacing w:line="500" w:lineRule="exact"/>
        <w:ind w:firstLine="488"/>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4、若因乙方提供发票不合格或延期提供，甲方有权迟延履行付款义务且不承担违约责任。</w:t>
      </w:r>
    </w:p>
    <w:p w14:paraId="460CCCD7">
      <w:pPr>
        <w:keepNext w:val="0"/>
        <w:keepLines w:val="0"/>
        <w:widowControl/>
        <w:suppressLineNumbers w:val="0"/>
        <w:spacing w:line="360" w:lineRule="auto"/>
        <w:ind w:firstLine="480" w:firstLineChars="200"/>
        <w:jc w:val="left"/>
      </w:pPr>
      <w:r>
        <w:rPr>
          <w:rFonts w:hint="eastAsia" w:ascii="宋体" w:hAnsi="宋体" w:eastAsia="宋体" w:cs="宋体"/>
          <w:color w:val="000000"/>
          <w:kern w:val="0"/>
          <w:sz w:val="24"/>
          <w:szCs w:val="24"/>
          <w:lang w:val="en-US" w:eastAsia="zh-CN" w:bidi="ar"/>
        </w:rPr>
        <w:t>5、付款前乙方须按甲方要求开具合法有效且与该次付款金额等额的完税发票交甲方。乙方持成交通知书、服务合同、发票，与甲方结算”。</w:t>
      </w:r>
    </w:p>
    <w:p w14:paraId="2322EA8E">
      <w:pPr>
        <w:pStyle w:val="5"/>
        <w:spacing w:line="480" w:lineRule="exact"/>
        <w:ind w:firstLine="482" w:firstLineChars="200"/>
        <w:rPr>
          <w:rFonts w:hint="eastAsia" w:ascii="宋体" w:hAnsi="宋体" w:cs="宋体"/>
          <w:color w:val="auto"/>
          <w:sz w:val="24"/>
          <w:highlight w:val="none"/>
        </w:rPr>
      </w:pPr>
      <w:r>
        <w:rPr>
          <w:rFonts w:hint="eastAsia" w:ascii="宋体" w:hAnsi="宋体" w:cs="宋体"/>
          <w:b/>
          <w:bCs/>
          <w:color w:val="auto"/>
          <w:sz w:val="24"/>
          <w:highlight w:val="none"/>
        </w:rPr>
        <w:t>（五）乙方开户信息</w:t>
      </w:r>
    </w:p>
    <w:p w14:paraId="73ECFB36">
      <w:pPr>
        <w:spacing w:line="480" w:lineRule="exact"/>
        <w:ind w:firstLine="720" w:firstLineChars="300"/>
        <w:rPr>
          <w:rFonts w:hint="eastAsia" w:ascii="宋体" w:hAnsi="宋体" w:eastAsia="宋体" w:cs="宋体"/>
          <w:color w:val="auto"/>
          <w:highlight w:val="none"/>
        </w:rPr>
      </w:pPr>
      <w:r>
        <w:rPr>
          <w:rFonts w:hint="eastAsia" w:ascii="宋体" w:hAnsi="宋体" w:eastAsia="宋体" w:cs="宋体"/>
          <w:color w:val="auto"/>
          <w:highlight w:val="none"/>
        </w:rPr>
        <w:t>乙方单位名称：</w:t>
      </w:r>
    </w:p>
    <w:p w14:paraId="79D718A9">
      <w:pPr>
        <w:spacing w:line="480" w:lineRule="exact"/>
        <w:ind w:firstLine="720" w:firstLineChars="300"/>
        <w:rPr>
          <w:rFonts w:hint="eastAsia" w:ascii="宋体" w:hAnsi="宋体" w:eastAsia="宋体" w:cs="宋体"/>
          <w:color w:val="auto"/>
          <w:highlight w:val="none"/>
        </w:rPr>
      </w:pPr>
      <w:r>
        <w:rPr>
          <w:rFonts w:hint="eastAsia" w:ascii="宋体" w:hAnsi="宋体" w:eastAsia="宋体" w:cs="宋体"/>
          <w:color w:val="auto"/>
          <w:highlight w:val="none"/>
        </w:rPr>
        <w:t>开户行名称：</w:t>
      </w:r>
    </w:p>
    <w:p w14:paraId="3570D83C">
      <w:pPr>
        <w:spacing w:line="480" w:lineRule="exact"/>
        <w:ind w:firstLine="720" w:firstLineChars="300"/>
        <w:rPr>
          <w:rFonts w:hint="eastAsia" w:ascii="宋体" w:hAnsi="宋体" w:eastAsia="宋体" w:cs="宋体"/>
          <w:color w:val="auto"/>
          <w:highlight w:val="none"/>
        </w:rPr>
      </w:pPr>
      <w:r>
        <w:rPr>
          <w:rFonts w:hint="eastAsia" w:ascii="宋体" w:hAnsi="宋体" w:eastAsia="宋体" w:cs="宋体"/>
          <w:color w:val="auto"/>
          <w:highlight w:val="none"/>
        </w:rPr>
        <w:t>账      号：</w:t>
      </w:r>
    </w:p>
    <w:p w14:paraId="161C2418">
      <w:pPr>
        <w:spacing w:line="480" w:lineRule="exact"/>
        <w:ind w:firstLine="720" w:firstLineChars="300"/>
        <w:rPr>
          <w:rFonts w:hint="eastAsia" w:ascii="宋体" w:hAnsi="宋体" w:eastAsia="宋体" w:cs="宋体"/>
          <w:color w:val="auto"/>
          <w:highlight w:val="none"/>
        </w:rPr>
      </w:pPr>
      <w:r>
        <w:rPr>
          <w:rFonts w:hint="eastAsia" w:ascii="宋体" w:hAnsi="宋体" w:eastAsia="宋体" w:cs="宋体"/>
          <w:color w:val="auto"/>
          <w:highlight w:val="none"/>
        </w:rPr>
        <w:t>地      址：</w:t>
      </w:r>
    </w:p>
    <w:p w14:paraId="1273B18D">
      <w:pPr>
        <w:spacing w:line="480" w:lineRule="exact"/>
        <w:ind w:firstLine="482" w:firstLineChars="200"/>
        <w:rPr>
          <w:rFonts w:hint="eastAsia" w:ascii="宋体" w:hAnsi="宋体" w:eastAsia="宋体" w:cs="宋体"/>
          <w:color w:val="auto"/>
          <w:highlight w:val="none"/>
        </w:rPr>
      </w:pPr>
      <w:r>
        <w:rPr>
          <w:rFonts w:hint="eastAsia" w:ascii="宋体" w:hAnsi="宋体" w:eastAsia="宋体" w:cs="宋体"/>
          <w:b/>
          <w:bCs/>
          <w:color w:val="auto"/>
          <w:highlight w:val="none"/>
        </w:rPr>
        <w:t>（六）合同履行期限、地点和方式</w:t>
      </w:r>
    </w:p>
    <w:p w14:paraId="38479C95">
      <w:pPr>
        <w:spacing w:line="480" w:lineRule="exact"/>
        <w:ind w:firstLine="480" w:firstLineChars="200"/>
        <w:rPr>
          <w:rFonts w:hint="eastAsia" w:ascii="宋体" w:hAnsi="宋体" w:eastAsia="宋体" w:cs="宋体"/>
          <w:color w:val="auto"/>
          <w:spacing w:val="7"/>
          <w:sz w:val="23"/>
          <w:szCs w:val="23"/>
          <w:highlight w:val="none"/>
        </w:rPr>
      </w:pPr>
      <w:r>
        <w:rPr>
          <w:rFonts w:hint="eastAsia" w:ascii="宋体" w:hAnsi="宋体" w:eastAsia="宋体" w:cs="宋体"/>
          <w:color w:val="auto"/>
          <w:highlight w:val="none"/>
        </w:rPr>
        <w:t>1、服务期限：</w:t>
      </w:r>
      <w:r>
        <w:rPr>
          <w:rFonts w:hint="eastAsia" w:ascii="宋体" w:hAnsi="宋体" w:cs="宋体"/>
          <w:color w:val="auto"/>
          <w:highlight w:val="none"/>
          <w:lang w:eastAsia="zh-CN"/>
        </w:rPr>
        <w:t>自合同签订之日起90日历天</w:t>
      </w:r>
      <w:r>
        <w:rPr>
          <w:rFonts w:hint="eastAsia" w:ascii="宋体" w:hAnsi="宋体" w:eastAsia="宋体" w:cs="宋体"/>
          <w:color w:val="auto"/>
          <w:highlight w:val="none"/>
        </w:rPr>
        <w:t>。</w:t>
      </w:r>
    </w:p>
    <w:p w14:paraId="39DDAE4F">
      <w:pPr>
        <w:spacing w:line="480" w:lineRule="exact"/>
        <w:ind w:firstLine="480" w:firstLineChars="200"/>
        <w:rPr>
          <w:rFonts w:hint="eastAsia" w:ascii="宋体" w:hAnsi="宋体" w:eastAsia="宋体" w:cs="宋体"/>
          <w:color w:val="auto"/>
          <w:spacing w:val="7"/>
          <w:sz w:val="23"/>
          <w:szCs w:val="23"/>
          <w:highlight w:val="none"/>
        </w:rPr>
      </w:pPr>
      <w:r>
        <w:rPr>
          <w:rFonts w:hint="eastAsia" w:ascii="宋体" w:hAnsi="宋体" w:eastAsia="宋体" w:cs="宋体"/>
          <w:color w:val="auto"/>
          <w:highlight w:val="none"/>
        </w:rPr>
        <w:t>2、服务地点：</w:t>
      </w:r>
      <w:r>
        <w:rPr>
          <w:rFonts w:hint="eastAsia" w:ascii="宋体" w:hAnsi="宋体" w:eastAsia="宋体" w:cs="宋体"/>
          <w:color w:val="auto"/>
          <w:szCs w:val="24"/>
          <w:highlight w:val="none"/>
          <w:lang w:eastAsia="zh-CN"/>
        </w:rPr>
        <w:t>西安市应急管理局</w:t>
      </w:r>
      <w:r>
        <w:rPr>
          <w:rFonts w:hint="eastAsia" w:ascii="宋体" w:hAnsi="宋体" w:eastAsia="宋体" w:cs="宋体"/>
          <w:color w:val="auto"/>
          <w:spacing w:val="7"/>
          <w:sz w:val="23"/>
          <w:szCs w:val="23"/>
          <w:highlight w:val="none"/>
        </w:rPr>
        <w:t>。</w:t>
      </w:r>
    </w:p>
    <w:p w14:paraId="7F43F9D6">
      <w:pPr>
        <w:keepNext w:val="0"/>
        <w:keepLines w:val="0"/>
        <w:pageBreakBefore w:val="0"/>
        <w:bidi w:val="0"/>
        <w:spacing w:line="500" w:lineRule="exact"/>
        <w:ind w:firstLine="482" w:firstLineChars="200"/>
        <w:rPr>
          <w:rFonts w:hint="eastAsia" w:ascii="宋体" w:hAnsi="宋体" w:eastAsia="宋体" w:cs="宋体"/>
          <w:b/>
          <w:snapToGrid w:val="0"/>
          <w:color w:val="auto"/>
          <w:spacing w:val="0"/>
          <w:kern w:val="44"/>
          <w:sz w:val="24"/>
          <w:szCs w:val="24"/>
          <w:highlight w:val="none"/>
          <w:lang w:val="zh-CN" w:bidi="zh-CN"/>
        </w:rPr>
      </w:pPr>
      <w:r>
        <w:rPr>
          <w:rFonts w:hint="eastAsia" w:ascii="宋体" w:hAnsi="宋体" w:eastAsia="宋体" w:cs="宋体"/>
          <w:b/>
          <w:bCs/>
          <w:color w:val="auto"/>
          <w:spacing w:val="0"/>
          <w:sz w:val="24"/>
          <w:szCs w:val="24"/>
          <w:highlight w:val="none"/>
        </w:rPr>
        <w:t>（</w:t>
      </w:r>
      <w:r>
        <w:rPr>
          <w:rFonts w:hint="eastAsia" w:ascii="宋体" w:hAnsi="宋体" w:eastAsia="宋体" w:cs="宋体"/>
          <w:b/>
          <w:bCs/>
          <w:color w:val="auto"/>
          <w:spacing w:val="0"/>
          <w:sz w:val="24"/>
          <w:szCs w:val="24"/>
          <w:highlight w:val="none"/>
          <w:lang w:eastAsia="zh-CN"/>
        </w:rPr>
        <w:t>七</w:t>
      </w:r>
      <w:r>
        <w:rPr>
          <w:rFonts w:hint="eastAsia" w:ascii="宋体" w:hAnsi="宋体" w:eastAsia="宋体" w:cs="宋体"/>
          <w:b/>
          <w:bCs/>
          <w:color w:val="auto"/>
          <w:spacing w:val="0"/>
          <w:sz w:val="24"/>
          <w:szCs w:val="24"/>
          <w:highlight w:val="none"/>
        </w:rPr>
        <w:t>）</w:t>
      </w:r>
      <w:r>
        <w:rPr>
          <w:rFonts w:hint="eastAsia" w:ascii="宋体" w:hAnsi="宋体" w:eastAsia="宋体" w:cs="宋体"/>
          <w:b/>
          <w:snapToGrid w:val="0"/>
          <w:color w:val="auto"/>
          <w:spacing w:val="0"/>
          <w:kern w:val="44"/>
          <w:sz w:val="24"/>
          <w:szCs w:val="24"/>
          <w:highlight w:val="none"/>
          <w:lang w:val="zh-CN" w:bidi="zh-CN"/>
        </w:rPr>
        <w:t>服务要求</w:t>
      </w:r>
    </w:p>
    <w:p w14:paraId="53DC9A20">
      <w:pPr>
        <w:pStyle w:val="13"/>
        <w:spacing w:beforeLines="0" w:afterLines="0" w:line="360" w:lineRule="auto"/>
        <w:ind w:left="210" w:right="206" w:firstLine="382"/>
        <w:rPr>
          <w:rFonts w:hint="eastAsia" w:ascii="宋体" w:hAnsi="宋体" w:eastAsia="宋体" w:cs="宋体"/>
          <w:color w:val="auto"/>
          <w:spacing w:val="4"/>
          <w:sz w:val="24"/>
          <w:szCs w:val="24"/>
          <w:lang w:eastAsia="zh-CN"/>
        </w:rPr>
      </w:pPr>
      <w:r>
        <w:rPr>
          <w:rFonts w:hint="eastAsia" w:ascii="宋体" w:hAnsi="宋体" w:eastAsia="宋体" w:cs="宋体"/>
          <w:color w:val="auto"/>
          <w:sz w:val="24"/>
          <w:szCs w:val="24"/>
          <w:highlight w:val="none"/>
          <w:lang w:eastAsia="zh-CN"/>
        </w:rPr>
        <w:t>按照GB/T 39786-2021 《信息安全技术 信息系统密码应用基本要求》及通过评估的密码应用方案对</w:t>
      </w:r>
      <w:r>
        <w:rPr>
          <w:rFonts w:hint="eastAsia" w:ascii="宋体" w:hAnsi="宋体" w:eastAsia="宋体" w:cs="宋体"/>
          <w:color w:val="auto"/>
          <w:sz w:val="24"/>
          <w:szCs w:val="24"/>
          <w:highlight w:val="none"/>
          <w:lang w:val="en-US" w:eastAsia="zh-CN"/>
        </w:rPr>
        <w:t>委托方约30个子</w:t>
      </w:r>
      <w:r>
        <w:rPr>
          <w:rFonts w:hint="eastAsia" w:ascii="宋体" w:hAnsi="宋体" w:eastAsia="宋体" w:cs="宋体"/>
          <w:color w:val="auto"/>
          <w:sz w:val="24"/>
          <w:szCs w:val="24"/>
          <w:highlight w:val="none"/>
          <w:lang w:eastAsia="zh-CN"/>
        </w:rPr>
        <w:t>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w:t>
      </w:r>
      <w:r>
        <w:rPr>
          <w:rFonts w:hint="eastAsia" w:ascii="宋体" w:hAnsi="宋体" w:eastAsia="宋体" w:cs="宋体"/>
          <w:color w:val="auto"/>
          <w:spacing w:val="4"/>
          <w:sz w:val="24"/>
          <w:szCs w:val="24"/>
          <w:lang w:eastAsia="zh-CN"/>
        </w:rPr>
        <w:t>具体内容包括：</w:t>
      </w:r>
    </w:p>
    <w:tbl>
      <w:tblPr>
        <w:tblStyle w:val="7"/>
        <w:tblW w:w="488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0"/>
        <w:gridCol w:w="1199"/>
        <w:gridCol w:w="1764"/>
        <w:gridCol w:w="4689"/>
      </w:tblGrid>
      <w:tr w14:paraId="780A6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397" w:type="pct"/>
            <w:tcBorders>
              <w:top w:val="single" w:color="000000" w:sz="4" w:space="0"/>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79D5C388">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序号</w:t>
            </w:r>
          </w:p>
        </w:tc>
        <w:tc>
          <w:tcPr>
            <w:tcW w:w="721" w:type="pct"/>
            <w:tcBorders>
              <w:top w:val="single" w:color="000000" w:sz="4" w:space="0"/>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4662CE6">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服务内容</w:t>
            </w:r>
          </w:p>
        </w:tc>
        <w:tc>
          <w:tcPr>
            <w:tcW w:w="1061" w:type="pct"/>
            <w:tcBorders>
              <w:top w:val="single" w:color="000000" w:sz="4" w:space="0"/>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671292E">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服务内容子项</w:t>
            </w:r>
          </w:p>
        </w:tc>
        <w:tc>
          <w:tcPr>
            <w:tcW w:w="2820" w:type="pct"/>
            <w:tcBorders>
              <w:top w:val="single" w:color="000000" w:sz="4" w:space="0"/>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C4952A6">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工作内容</w:t>
            </w:r>
          </w:p>
        </w:tc>
      </w:tr>
      <w:tr w14:paraId="55014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7" w:type="pct"/>
            <w:tcBorders>
              <w:top w:val="nil"/>
              <w:left w:val="single" w:color="000000" w:sz="4" w:space="0"/>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266BE0BE">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72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6F6AB11">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需求沟通确认</w:t>
            </w:r>
          </w:p>
        </w:tc>
        <w:tc>
          <w:tcPr>
            <w:tcW w:w="106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7BE20E3D">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需求沟通调研和确认工作实施要求</w:t>
            </w:r>
          </w:p>
        </w:tc>
        <w:tc>
          <w:tcPr>
            <w:tcW w:w="2820"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7AA3229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对安全评估的组织实施流程、风险管控效果、时间节点、交付成果、评估方式等基础信息进行沟通核实，确认服务需求和工作要求</w:t>
            </w:r>
          </w:p>
        </w:tc>
      </w:tr>
      <w:tr w14:paraId="50ED5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7" w:type="pct"/>
            <w:tcBorders>
              <w:top w:val="nil"/>
              <w:left w:val="single" w:color="000000" w:sz="4" w:space="0"/>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0F7C87F2">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72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40D2A0C">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基础材料搜集整理和现场沟通采集</w:t>
            </w:r>
          </w:p>
        </w:tc>
        <w:tc>
          <w:tcPr>
            <w:tcW w:w="106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3EA5D8ED">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按照评估准备实施要求，搜集整理必要素材</w:t>
            </w:r>
          </w:p>
        </w:tc>
        <w:tc>
          <w:tcPr>
            <w:tcW w:w="2820"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4C9407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通过远程或现场会议方式与业务研发、运维部门技术团队和保障团队沟通评估所需基础素材、文档等必要信息</w:t>
            </w:r>
          </w:p>
        </w:tc>
      </w:tr>
      <w:tr w14:paraId="6C189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7" w:type="pct"/>
            <w:tcBorders>
              <w:top w:val="nil"/>
              <w:left w:val="single" w:color="000000" w:sz="4" w:space="0"/>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EC4ACE3">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72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39173779">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密码应用方案评估</w:t>
            </w:r>
          </w:p>
        </w:tc>
        <w:tc>
          <w:tcPr>
            <w:tcW w:w="106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146229F7">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密码应用方案</w:t>
            </w:r>
          </w:p>
          <w:p w14:paraId="5A6DC8D8">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评估</w:t>
            </w:r>
          </w:p>
        </w:tc>
        <w:tc>
          <w:tcPr>
            <w:tcW w:w="2820"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3AA680B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对委托方制定的密码应用方案进行评估，出具《密码应用方案评估报告》</w:t>
            </w:r>
          </w:p>
        </w:tc>
      </w:tr>
      <w:tr w14:paraId="20CEB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7" w:type="pct"/>
            <w:tcBorders>
              <w:top w:val="nil"/>
              <w:left w:val="single" w:color="000000" w:sz="4" w:space="0"/>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76996D0B">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72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14DCDDE0">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系统评估</w:t>
            </w:r>
          </w:p>
        </w:tc>
        <w:tc>
          <w:tcPr>
            <w:tcW w:w="106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0AAAA45E">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依据GB/T 39786-2021《信息系统密码应用基本要求》等标准进行测评</w:t>
            </w:r>
          </w:p>
        </w:tc>
        <w:tc>
          <w:tcPr>
            <w:tcW w:w="2820"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0357506B">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按照GB/T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14:paraId="145CF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7" w:type="pct"/>
            <w:tcBorders>
              <w:top w:val="nil"/>
              <w:left w:val="single" w:color="000000" w:sz="4" w:space="0"/>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536A5B44">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72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4882BE2">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报告编制</w:t>
            </w:r>
          </w:p>
        </w:tc>
        <w:tc>
          <w:tcPr>
            <w:tcW w:w="1061"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4BF5B35C">
            <w:pPr>
              <w:pStyle w:val="11"/>
              <w:jc w:val="center"/>
              <w:rPr>
                <w:rFonts w:hint="eastAsia" w:ascii="宋体" w:hAnsi="宋体" w:eastAsia="宋体" w:cs="宋体"/>
                <w:color w:val="auto"/>
                <w:sz w:val="21"/>
                <w:szCs w:val="21"/>
              </w:rPr>
            </w:pPr>
            <w:r>
              <w:rPr>
                <w:rFonts w:hint="eastAsia" w:ascii="宋体" w:hAnsi="宋体" w:eastAsia="宋体" w:cs="宋体"/>
                <w:color w:val="auto"/>
                <w:sz w:val="21"/>
                <w:szCs w:val="21"/>
              </w:rPr>
              <w:t>编制评估报告</w:t>
            </w:r>
          </w:p>
        </w:tc>
        <w:tc>
          <w:tcPr>
            <w:tcW w:w="2820" w:type="pct"/>
            <w:tcBorders>
              <w:top w:val="nil"/>
              <w:left w:val="nil"/>
              <w:bottom w:val="single" w:color="000000" w:sz="4" w:space="0"/>
              <w:right w:val="single" w:color="000000" w:sz="4" w:space="0"/>
              <w:tl2br w:val="nil"/>
              <w:tr2bl w:val="nil"/>
            </w:tcBorders>
            <w:shd w:val="clear" w:color="auto" w:fill="FFFFFF"/>
            <w:noWrap w:val="0"/>
            <w:tcMar>
              <w:top w:w="0" w:type="dxa"/>
              <w:left w:w="105" w:type="dxa"/>
              <w:bottom w:w="0" w:type="dxa"/>
              <w:right w:w="105" w:type="dxa"/>
            </w:tcMar>
            <w:vAlign w:val="center"/>
          </w:tcPr>
          <w:p w14:paraId="614F4BC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对评估过程中发现的问题进行汇总确认，总结各项评估指标的评估结果，编制评估报告。</w:t>
            </w:r>
          </w:p>
        </w:tc>
      </w:tr>
    </w:tbl>
    <w:p w14:paraId="2C6E3761">
      <w:pPr>
        <w:pStyle w:val="11"/>
        <w:spacing w:line="360" w:lineRule="auto"/>
        <w:ind w:firstLine="400"/>
        <w:rPr>
          <w:rFonts w:hint="eastAsia" w:ascii="宋体" w:hAnsi="宋体" w:eastAsia="宋体" w:cs="宋体"/>
          <w:color w:val="auto"/>
          <w:sz w:val="24"/>
          <w:szCs w:val="24"/>
        </w:rPr>
      </w:pPr>
      <w:r>
        <w:rPr>
          <w:rFonts w:hint="eastAsia" w:ascii="宋体" w:hAnsi="宋体" w:eastAsia="宋体" w:cs="宋体"/>
          <w:color w:val="auto"/>
          <w:sz w:val="24"/>
          <w:szCs w:val="24"/>
        </w:rPr>
        <w:t>开展商用密码应用安全性评估，需从物理环境、网络通信、设备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计算、应用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数据、管理制度、人员管理、建设运行、应急处置等多个方面开展测评，具体测评指标如下（以第三级信息系统为例）：</w:t>
      </w:r>
    </w:p>
    <w:tbl>
      <w:tblPr>
        <w:tblStyle w:val="7"/>
        <w:tblW w:w="488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3"/>
        <w:gridCol w:w="2115"/>
        <w:gridCol w:w="5420"/>
      </w:tblGrid>
      <w:tr w14:paraId="619EA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atLeast"/>
          <w:jc w:val="center"/>
        </w:trPr>
        <w:tc>
          <w:tcPr>
            <w:tcW w:w="471" w:type="pct"/>
            <w:tcBorders>
              <w:top w:val="single" w:color="000000" w:sz="4" w:space="0"/>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0E118823">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测评层面</w:t>
            </w:r>
          </w:p>
        </w:tc>
        <w:tc>
          <w:tcPr>
            <w:tcW w:w="1271" w:type="pct"/>
            <w:tcBorders>
              <w:top w:val="single" w:color="000000" w:sz="4" w:space="0"/>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8206B21">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测评单元</w:t>
            </w:r>
          </w:p>
        </w:tc>
        <w:tc>
          <w:tcPr>
            <w:tcW w:w="3257" w:type="pct"/>
            <w:tcBorders>
              <w:top w:val="single" w:color="000000" w:sz="4" w:space="0"/>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F586849">
            <w:pPr>
              <w:pStyle w:val="11"/>
              <w:jc w:val="center"/>
              <w:rPr>
                <w:rFonts w:hint="eastAsia" w:ascii="宋体" w:hAnsi="宋体" w:eastAsia="宋体" w:cs="宋体"/>
                <w:color w:val="auto"/>
                <w:sz w:val="21"/>
                <w:szCs w:val="21"/>
              </w:rPr>
            </w:pPr>
            <w:r>
              <w:rPr>
                <w:rFonts w:hint="eastAsia" w:ascii="宋体" w:hAnsi="宋体" w:eastAsia="宋体" w:cs="宋体"/>
                <w:b/>
                <w:color w:val="auto"/>
                <w:sz w:val="21"/>
                <w:szCs w:val="21"/>
              </w:rPr>
              <w:t>指标要求</w:t>
            </w:r>
          </w:p>
        </w:tc>
      </w:tr>
      <w:tr w14:paraId="0AF2B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5C21B47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物理环境安全</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C54DCB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身份鉴别</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1020FA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宜采用密码技术进行物理访问身份鉴别，保证重要区域进入人员身份的真实性。</w:t>
            </w:r>
          </w:p>
        </w:tc>
      </w:tr>
      <w:tr w14:paraId="07E6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6EAC9CC">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7EFCAB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电子门禁记录数据存储完整性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51B92E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宜采用密码技术保证电子门禁系统进出记录数据的存储完整性。</w:t>
            </w:r>
          </w:p>
        </w:tc>
      </w:tr>
      <w:tr w14:paraId="6FFF6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B3BFF28">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E328BD8">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视频监控记录数据存储完整性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ED47C5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宜采用密码技术保证视频监控音像记录数据的存储完整性。</w:t>
            </w:r>
          </w:p>
        </w:tc>
      </w:tr>
      <w:tr w14:paraId="0C445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1"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490884E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网络通信安全</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079DF88">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身份鉴别</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736D1B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应采用密码技术对通信实体进行身份鉴别，保证通信实体身份的真实性。</w:t>
            </w:r>
          </w:p>
        </w:tc>
      </w:tr>
      <w:tr w14:paraId="79247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59DC71E">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FB337C7">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通信数据完整性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CEC1EFA">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宜采用密码技术保证通信过程中数据的完整性。</w:t>
            </w:r>
          </w:p>
        </w:tc>
      </w:tr>
      <w:tr w14:paraId="2276C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008476A">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4E27F83">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通信过程中重要数据的机密性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35B66D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应采用密码技术保证通信过程中重要数据的机密性。</w:t>
            </w:r>
          </w:p>
        </w:tc>
      </w:tr>
      <w:tr w14:paraId="5BC5D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F97163B">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3E812A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网络边界访问控制信息的完整性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955889C">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宜采用密码技术保证网络边界访问控制信息的完整性。</w:t>
            </w:r>
          </w:p>
        </w:tc>
      </w:tr>
      <w:tr w14:paraId="634E2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24004C8">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C52A36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安全接入认证</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ECC50C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可采用密码技术对从外部连接到内部网络的设备进行接入认证，确保接入的设备身份真实性。</w:t>
            </w:r>
          </w:p>
        </w:tc>
      </w:tr>
      <w:tr w14:paraId="059F0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45E8EF23">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设备和计算安全</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E65A22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身份鉴别</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1C382B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应采用密码技术对登录设备的用户进行身份鉴别，保证用户身份的真实性。</w:t>
            </w:r>
          </w:p>
        </w:tc>
      </w:tr>
      <w:tr w14:paraId="50D10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F84C24B">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35FB2B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远程管理通道安全</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FD79221">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远程管理设备时，应采用密码技术建立安全的信息传输通道。</w:t>
            </w:r>
          </w:p>
        </w:tc>
      </w:tr>
      <w:tr w14:paraId="48350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803383C">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FFF049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系统资源访问控制信息完整性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0BA6AD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宜采用密码技术保证系统资源访问控制信息的完整性。</w:t>
            </w:r>
          </w:p>
        </w:tc>
      </w:tr>
      <w:tr w14:paraId="39566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2F545D19">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3A220C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重要信息资源安全标记完整性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26B193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宜采用密码技术保证设备中的重要信息资源安全标记的完整性。</w:t>
            </w:r>
          </w:p>
        </w:tc>
      </w:tr>
      <w:tr w14:paraId="576B3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2D9D86A6">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4D0C3E8">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日志记录完整性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27870D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宜采用密码技术保证日志记录的完整性。</w:t>
            </w:r>
          </w:p>
        </w:tc>
      </w:tr>
      <w:tr w14:paraId="67A47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FBFB0E4">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582174C">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重要可执行程序完整性、重要可执行程序来源真实性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E2D5B6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宜采用密码技术对重要可执行程序进行完整性保护，并对其来源进行真实性验证。</w:t>
            </w:r>
          </w:p>
        </w:tc>
      </w:tr>
      <w:tr w14:paraId="72FB9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7030C14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应用和数据安全</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5E7B171">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身份鉴别</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0AF5A9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应采用密码技术对登录用户进行身份鉴别，保证应用系统用户身份的真实性。</w:t>
            </w:r>
          </w:p>
        </w:tc>
      </w:tr>
      <w:tr w14:paraId="3F51A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DD001CA">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E05998C">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访问控制信息完整性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2A10F9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宜采用密码技术保证信息系统应用的访问控制信息的完整性。</w:t>
            </w:r>
          </w:p>
        </w:tc>
      </w:tr>
      <w:tr w14:paraId="3DDCB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1072E66">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405C2C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重要信息资源安全标记完整性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105F96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宜采用密码技术保证信息系统应用的重要信息资源安全标记的完整性；</w:t>
            </w:r>
          </w:p>
        </w:tc>
      </w:tr>
      <w:tr w14:paraId="6AF6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5135D751">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1AE5AF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重要数据传输机密性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633982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应采用密码技术保证信息系统应用的重要数据在传输过程中的机密性。</w:t>
            </w:r>
          </w:p>
        </w:tc>
      </w:tr>
      <w:tr w14:paraId="467C1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32A82F2">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049102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重要数据存储机密性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8B32F2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应采用密码技术保证信息系统应用的重要数据在存储过程中的机密性。</w:t>
            </w:r>
          </w:p>
        </w:tc>
      </w:tr>
      <w:tr w14:paraId="55CBC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7651E9C2">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542459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重要数据传输完整性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C27317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宜采用密码技术保证信息系统应用的重要数据在传输过程中的完整性。</w:t>
            </w:r>
          </w:p>
        </w:tc>
      </w:tr>
      <w:tr w14:paraId="312B4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CF1230D">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F6704F9">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重要数据存储完整性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50957A1">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宜采用密码技术保证信息系统应用的重要数据在存储过程中的完整性；</w:t>
            </w:r>
          </w:p>
        </w:tc>
      </w:tr>
      <w:tr w14:paraId="29DB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5E4C41DF">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34204BA">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不可否认性</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56ADBFB">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在可能涉及法律责任认定的应用中，宜采用密码技术提供数据原发证据和数据接收证据，实现数据原发行为的不可否认性和数据接收行为的不可否认性。</w:t>
            </w:r>
          </w:p>
        </w:tc>
      </w:tr>
      <w:tr w14:paraId="498B5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17C8176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管理制度</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8F546E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具备密码应用安全管理制度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D88E70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应具备密码应用安全管理制度，包括密码人员管理、密钥管理、建设运行、应急处置、密码软硬件及介质管理等制度；</w:t>
            </w:r>
          </w:p>
        </w:tc>
      </w:tr>
      <w:tr w14:paraId="07542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9D4FFC8">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DDFC5BB">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密钥管理规则</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443A821">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应根据密码应用方案建立相应密钥管理规则；</w:t>
            </w:r>
          </w:p>
        </w:tc>
      </w:tr>
      <w:tr w14:paraId="18F61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9030F2D">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C05404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建立操作规程</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1615058">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应对管理人员或操作人员执行的日常管理操作建立操作规程；</w:t>
            </w:r>
          </w:p>
        </w:tc>
      </w:tr>
      <w:tr w14:paraId="31DA0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C892ECA">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18681D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定期修订安全管理制度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5893B87">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应定期对密码应用安全管理制度和操作规程的合理性和适用性进行论证和审定，对存在不足或需要改进之处进行修订；</w:t>
            </w:r>
          </w:p>
        </w:tc>
      </w:tr>
      <w:tr w14:paraId="384F0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74C65617">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E96B81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明确管理制度发布流程</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3E0350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应明确相关密码应用安全管理制度和操作规程的发布流程并进行版本控制；</w:t>
            </w:r>
          </w:p>
        </w:tc>
      </w:tr>
      <w:tr w14:paraId="43985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DD839F2">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DD0D311">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制度执行过程记录留存</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F69C27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应具有密码应用操作规程的相关执行记录并妥善保存。</w:t>
            </w:r>
          </w:p>
        </w:tc>
      </w:tr>
      <w:tr w14:paraId="69D41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7B7B13A5">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人员管理</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6AAACC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了解并遵守密码相关法律法规和密码管理制度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6C1FE1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相关人员应了解并遵守密码相关法律法规、密码应用安全管理制度；</w:t>
            </w:r>
          </w:p>
        </w:tc>
      </w:tr>
      <w:tr w14:paraId="54B11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27F7776">
            <w:pPr>
              <w:rPr>
                <w:rFonts w:hint="eastAsia" w:ascii="宋体" w:hAnsi="宋体" w:eastAsia="宋体" w:cs="宋体"/>
                <w:color w:val="auto"/>
                <w:sz w:val="21"/>
                <w:szCs w:val="21"/>
              </w:rPr>
            </w:pPr>
          </w:p>
        </w:tc>
        <w:tc>
          <w:tcPr>
            <w:tcW w:w="1271" w:type="pct"/>
            <w:vMerge w:val="restar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7E380FA">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建立密码应用岗位责任制度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F05740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应建立密码应用岗位责任制度，明确各岗位在安全系统中的职责和权限：</w:t>
            </w:r>
          </w:p>
        </w:tc>
      </w:tr>
      <w:tr w14:paraId="5F1D0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FFD20D4">
            <w:pPr>
              <w:rPr>
                <w:rFonts w:hint="eastAsia" w:ascii="宋体" w:hAnsi="宋体" w:eastAsia="宋体" w:cs="宋体"/>
                <w:color w:val="auto"/>
                <w:sz w:val="21"/>
                <w:szCs w:val="21"/>
              </w:rPr>
            </w:pPr>
          </w:p>
        </w:tc>
        <w:tc>
          <w:tcPr>
            <w:tcW w:w="1271" w:type="pct"/>
            <w:vMerge w:val="continue"/>
            <w:tcBorders>
              <w:top w:val="nil"/>
              <w:left w:val="nil"/>
              <w:bottom w:val="single" w:color="000000" w:sz="4" w:space="0"/>
              <w:right w:val="single" w:color="000000" w:sz="4" w:space="0"/>
              <w:tl2br w:val="nil"/>
              <w:tr2bl w:val="nil"/>
            </w:tcBorders>
            <w:noWrap w:val="0"/>
            <w:vAlign w:val="center"/>
          </w:tcPr>
          <w:p w14:paraId="5C4AA619">
            <w:pPr>
              <w:rPr>
                <w:rFonts w:hint="eastAsia" w:ascii="宋体" w:hAnsi="宋体" w:eastAsia="宋体" w:cs="宋体"/>
                <w:color w:val="auto"/>
                <w:sz w:val="21"/>
                <w:szCs w:val="21"/>
              </w:rPr>
            </w:pP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C76D14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1) 根据密码应用的实际情况，设置密钥管理员、密码安全审计员、密码操作员等关键安全岗位；</w:t>
            </w:r>
          </w:p>
        </w:tc>
      </w:tr>
      <w:tr w14:paraId="4B962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6E2D8D6">
            <w:pPr>
              <w:rPr>
                <w:rFonts w:hint="eastAsia" w:ascii="宋体" w:hAnsi="宋体" w:eastAsia="宋体" w:cs="宋体"/>
                <w:color w:val="auto"/>
                <w:sz w:val="21"/>
                <w:szCs w:val="21"/>
              </w:rPr>
            </w:pPr>
          </w:p>
        </w:tc>
        <w:tc>
          <w:tcPr>
            <w:tcW w:w="1271" w:type="pct"/>
            <w:vMerge w:val="continue"/>
            <w:tcBorders>
              <w:top w:val="nil"/>
              <w:left w:val="nil"/>
              <w:bottom w:val="single" w:color="000000" w:sz="4" w:space="0"/>
              <w:right w:val="single" w:color="000000" w:sz="4" w:space="0"/>
              <w:tl2br w:val="nil"/>
              <w:tr2bl w:val="nil"/>
            </w:tcBorders>
            <w:noWrap w:val="0"/>
            <w:vAlign w:val="center"/>
          </w:tcPr>
          <w:p w14:paraId="64B741D7">
            <w:pPr>
              <w:rPr>
                <w:rFonts w:hint="eastAsia" w:ascii="宋体" w:hAnsi="宋体" w:eastAsia="宋体" w:cs="宋体"/>
                <w:color w:val="auto"/>
                <w:sz w:val="21"/>
                <w:szCs w:val="21"/>
              </w:rPr>
            </w:pP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2ECA8D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2) 对关键岗位建立多人共管机制；</w:t>
            </w:r>
          </w:p>
        </w:tc>
      </w:tr>
      <w:tr w14:paraId="5B71E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57BCC39">
            <w:pPr>
              <w:rPr>
                <w:rFonts w:hint="eastAsia" w:ascii="宋体" w:hAnsi="宋体" w:eastAsia="宋体" w:cs="宋体"/>
                <w:color w:val="auto"/>
                <w:sz w:val="21"/>
                <w:szCs w:val="21"/>
              </w:rPr>
            </w:pPr>
          </w:p>
        </w:tc>
        <w:tc>
          <w:tcPr>
            <w:tcW w:w="1271" w:type="pct"/>
            <w:vMerge w:val="continue"/>
            <w:tcBorders>
              <w:top w:val="nil"/>
              <w:left w:val="nil"/>
              <w:bottom w:val="single" w:color="000000" w:sz="4" w:space="0"/>
              <w:right w:val="single" w:color="000000" w:sz="4" w:space="0"/>
              <w:tl2br w:val="nil"/>
              <w:tr2bl w:val="nil"/>
            </w:tcBorders>
            <w:noWrap w:val="0"/>
            <w:vAlign w:val="center"/>
          </w:tcPr>
          <w:p w14:paraId="25C74898">
            <w:pPr>
              <w:rPr>
                <w:rFonts w:hint="eastAsia" w:ascii="宋体" w:hAnsi="宋体" w:eastAsia="宋体" w:cs="宋体"/>
                <w:color w:val="auto"/>
                <w:sz w:val="21"/>
                <w:szCs w:val="21"/>
              </w:rPr>
            </w:pP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34627F3">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3) 密钥管理、密码安全审计、密码操作人员职责互相制约互相监督，其中密码安全审计员岗位不可与密钥管理员、密码操作员兼任；</w:t>
            </w:r>
          </w:p>
        </w:tc>
      </w:tr>
      <w:tr w14:paraId="71E3E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2269AE7A">
            <w:pPr>
              <w:rPr>
                <w:rFonts w:hint="eastAsia" w:ascii="宋体" w:hAnsi="宋体" w:eastAsia="宋体" w:cs="宋体"/>
                <w:color w:val="auto"/>
                <w:sz w:val="21"/>
                <w:szCs w:val="21"/>
              </w:rPr>
            </w:pPr>
          </w:p>
        </w:tc>
        <w:tc>
          <w:tcPr>
            <w:tcW w:w="1271" w:type="pct"/>
            <w:vMerge w:val="continue"/>
            <w:tcBorders>
              <w:top w:val="nil"/>
              <w:left w:val="nil"/>
              <w:bottom w:val="single" w:color="000000" w:sz="4" w:space="0"/>
              <w:right w:val="single" w:color="000000" w:sz="4" w:space="0"/>
              <w:tl2br w:val="nil"/>
              <w:tr2bl w:val="nil"/>
            </w:tcBorders>
            <w:noWrap w:val="0"/>
            <w:vAlign w:val="center"/>
          </w:tcPr>
          <w:p w14:paraId="3B59EFF1">
            <w:pPr>
              <w:rPr>
                <w:rFonts w:hint="eastAsia" w:ascii="宋体" w:hAnsi="宋体" w:eastAsia="宋体" w:cs="宋体"/>
                <w:color w:val="auto"/>
                <w:sz w:val="21"/>
                <w:szCs w:val="21"/>
              </w:rPr>
            </w:pP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B3E6FD7">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4) 相关设备与系统的管理和使用账号不得多人共用。</w:t>
            </w:r>
          </w:p>
        </w:tc>
      </w:tr>
      <w:tr w14:paraId="45EAD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9D13D70">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D9AC9B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建立上岗人员培训制度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F8FA0E9">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应建立上岗人员培训制度，对于涉及密码的操作和管理的人员进行专门培训，确保其具备岗位所需专业技能；</w:t>
            </w:r>
          </w:p>
        </w:tc>
      </w:tr>
      <w:tr w14:paraId="5096B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C8A2A38">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E992842">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定期进行安全岗位人员考核</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E55F429">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应定期对密码应用安全岗位人员进行考核；</w:t>
            </w:r>
          </w:p>
        </w:tc>
      </w:tr>
      <w:tr w14:paraId="1DE51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C17A859">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4DBCD14">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建立关键岗位人员保密制度和调离制度</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7A3BF5D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应建立关键人员保密制度和调离制度，签订保密合同，承担保密义务。</w:t>
            </w:r>
          </w:p>
        </w:tc>
      </w:tr>
      <w:tr w14:paraId="7BB03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1987EF2A">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运行</w:t>
            </w:r>
            <w:r>
              <w:rPr>
                <w:rFonts w:hint="eastAsia" w:ascii="宋体" w:hAnsi="宋体" w:eastAsia="宋体" w:cs="宋体"/>
                <w:color w:val="auto"/>
                <w:sz w:val="21"/>
                <w:szCs w:val="21"/>
                <w:lang w:eastAsia="zh-CN"/>
              </w:rPr>
              <w:t>实施</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A0F94C0">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制定密码应用方案</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CD81FE1">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应依据密码相关标准和密码应用需求，制定密码应用方案</w:t>
            </w:r>
            <w:r>
              <w:rPr>
                <w:rFonts w:hint="eastAsia" w:ascii="宋体" w:hAnsi="宋体" w:eastAsia="宋体" w:cs="宋体"/>
                <w:color w:val="auto"/>
                <w:sz w:val="21"/>
                <w:szCs w:val="21"/>
                <w:lang w:eastAsia="zh-CN"/>
              </w:rPr>
              <w:t>。</w:t>
            </w:r>
          </w:p>
        </w:tc>
      </w:tr>
      <w:tr w14:paraId="6629A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701719BF">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1E08B7AD">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制定密钥安全管理策略</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A19475A">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应根据密码应用方案，确定系统涉及的密钥种类、体系及其生命周期环节，各环节密钥管理要求</w:t>
            </w:r>
            <w:r>
              <w:rPr>
                <w:rFonts w:hint="eastAsia" w:ascii="宋体" w:hAnsi="宋体" w:eastAsia="宋体" w:cs="宋体"/>
                <w:color w:val="auto"/>
                <w:sz w:val="21"/>
                <w:szCs w:val="21"/>
                <w:lang w:eastAsia="zh-CN"/>
              </w:rPr>
              <w:t>。</w:t>
            </w:r>
          </w:p>
        </w:tc>
      </w:tr>
      <w:tr w14:paraId="0A8EC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2FF4AC7D">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5ABC06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制定实施方案</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35772A2">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应按照应用方案实施建设</w:t>
            </w:r>
            <w:r>
              <w:rPr>
                <w:rFonts w:hint="eastAsia" w:ascii="宋体" w:hAnsi="宋体" w:eastAsia="宋体" w:cs="宋体"/>
                <w:color w:val="auto"/>
                <w:sz w:val="21"/>
                <w:szCs w:val="21"/>
                <w:lang w:eastAsia="zh-CN"/>
              </w:rPr>
              <w:t>。</w:t>
            </w:r>
          </w:p>
        </w:tc>
      </w:tr>
      <w:tr w14:paraId="27C47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2834EB2">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7EA2AD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投入运行前进行密码应用安全性评估</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63CC3DE1">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投入运行前应进行密码应用安全性评估，评估通过后系统方可正式运行</w:t>
            </w:r>
            <w:r>
              <w:rPr>
                <w:rFonts w:hint="eastAsia" w:ascii="宋体" w:hAnsi="宋体" w:eastAsia="宋体" w:cs="宋体"/>
                <w:color w:val="auto"/>
                <w:sz w:val="21"/>
                <w:szCs w:val="21"/>
                <w:lang w:eastAsia="zh-CN"/>
              </w:rPr>
              <w:t>。</w:t>
            </w:r>
          </w:p>
        </w:tc>
      </w:tr>
      <w:tr w14:paraId="73B1D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F07DC0B">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A143BD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定期开展密码应用安全性评估及攻防对抗演习</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3D07F789">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在运行过程中，应严格执行既定的密码应用安全管理制度，应定期开展密码应用安全性评估及攻防对抗演习，并根据评估结果进行整改。</w:t>
            </w:r>
          </w:p>
        </w:tc>
      </w:tr>
      <w:tr w14:paraId="118DB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7" w:hRule="atLeast"/>
          <w:jc w:val="center"/>
        </w:trPr>
        <w:tc>
          <w:tcPr>
            <w:tcW w:w="471" w:type="pct"/>
            <w:vMerge w:val="restart"/>
            <w:tcBorders>
              <w:top w:val="nil"/>
              <w:left w:val="single" w:color="000000" w:sz="4" w:space="0"/>
              <w:bottom w:val="single" w:color="000000" w:sz="4" w:space="0"/>
              <w:right w:val="single" w:color="000000" w:sz="4" w:space="0"/>
              <w:tl2br w:val="nil"/>
              <w:tr2bl w:val="nil"/>
            </w:tcBorders>
            <w:noWrap w:val="0"/>
            <w:tcMar>
              <w:top w:w="0" w:type="dxa"/>
              <w:left w:w="105" w:type="dxa"/>
              <w:bottom w:w="0" w:type="dxa"/>
              <w:right w:w="105" w:type="dxa"/>
            </w:tcMar>
            <w:vAlign w:val="center"/>
          </w:tcPr>
          <w:p w14:paraId="065E748C">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应急处置</w:t>
            </w: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48D0C2FF">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应急策略</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5F1FD86">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应制定密码应用应急策略，做好应急资源准备，当密码应用安全事件发生时，应立即启动应急处置措施，结合实际情况及时处置</w:t>
            </w:r>
            <w:r>
              <w:rPr>
                <w:rFonts w:hint="eastAsia" w:ascii="宋体" w:hAnsi="宋体" w:eastAsia="宋体" w:cs="宋体"/>
                <w:color w:val="auto"/>
                <w:sz w:val="21"/>
                <w:szCs w:val="21"/>
                <w:lang w:eastAsia="zh-CN"/>
              </w:rPr>
              <w:t>。</w:t>
            </w:r>
          </w:p>
        </w:tc>
      </w:tr>
      <w:tr w14:paraId="64A82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25AB654">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79A958B">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事件处置</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2718B4D9">
            <w:pPr>
              <w:pStyle w:val="11"/>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事件发生后，应及时向信息系统主管部门进行报告</w:t>
            </w:r>
            <w:r>
              <w:rPr>
                <w:rFonts w:hint="eastAsia" w:ascii="宋体" w:hAnsi="宋体" w:eastAsia="宋体" w:cs="宋体"/>
                <w:color w:val="auto"/>
                <w:sz w:val="21"/>
                <w:szCs w:val="21"/>
                <w:lang w:eastAsia="zh-CN"/>
              </w:rPr>
              <w:t>。</w:t>
            </w:r>
          </w:p>
        </w:tc>
      </w:tr>
      <w:tr w14:paraId="2CD31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jc w:val="center"/>
        </w:trPr>
        <w:tc>
          <w:tcPr>
            <w:tcW w:w="471"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7A4E96D">
            <w:pPr>
              <w:rPr>
                <w:rFonts w:hint="eastAsia" w:ascii="宋体" w:hAnsi="宋体" w:eastAsia="宋体" w:cs="宋体"/>
                <w:color w:val="auto"/>
                <w:sz w:val="21"/>
                <w:szCs w:val="21"/>
              </w:rPr>
            </w:pPr>
          </w:p>
        </w:tc>
        <w:tc>
          <w:tcPr>
            <w:tcW w:w="1271"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5F1DB93E">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向有关主管部门上报处置情况</w:t>
            </w:r>
          </w:p>
        </w:tc>
        <w:tc>
          <w:tcPr>
            <w:tcW w:w="3257" w:type="pct"/>
            <w:tcBorders>
              <w:top w:val="nil"/>
              <w:left w:val="nil"/>
              <w:bottom w:val="single" w:color="000000" w:sz="4" w:space="0"/>
              <w:right w:val="single" w:color="000000" w:sz="4" w:space="0"/>
              <w:tl2br w:val="nil"/>
              <w:tr2bl w:val="nil"/>
            </w:tcBorders>
            <w:noWrap w:val="0"/>
            <w:tcMar>
              <w:top w:w="0" w:type="dxa"/>
              <w:left w:w="105" w:type="dxa"/>
              <w:bottom w:w="0" w:type="dxa"/>
              <w:right w:w="105" w:type="dxa"/>
            </w:tcMar>
            <w:vAlign w:val="center"/>
          </w:tcPr>
          <w:p w14:paraId="07CE02F6">
            <w:pPr>
              <w:pStyle w:val="11"/>
              <w:jc w:val="both"/>
              <w:rPr>
                <w:rFonts w:hint="eastAsia" w:ascii="宋体" w:hAnsi="宋体" w:eastAsia="宋体" w:cs="宋体"/>
                <w:color w:val="auto"/>
                <w:sz w:val="21"/>
                <w:szCs w:val="21"/>
              </w:rPr>
            </w:pPr>
            <w:r>
              <w:rPr>
                <w:rFonts w:hint="eastAsia" w:ascii="宋体" w:hAnsi="宋体" w:eastAsia="宋体" w:cs="宋体"/>
                <w:color w:val="auto"/>
                <w:sz w:val="21"/>
                <w:szCs w:val="21"/>
              </w:rPr>
              <w:t>事件处置完成后，应及时向信息系统主管部门及归属的密码管理部门报告事件发生情况及处置情况。</w:t>
            </w:r>
          </w:p>
        </w:tc>
      </w:tr>
    </w:tbl>
    <w:p w14:paraId="606E5E66">
      <w:pPr>
        <w:keepNext w:val="0"/>
        <w:keepLines w:val="0"/>
        <w:pageBreakBefore w:val="0"/>
        <w:bidi w:val="0"/>
        <w:spacing w:line="500" w:lineRule="exact"/>
        <w:ind w:firstLine="482" w:firstLineChars="200"/>
        <w:rPr>
          <w:rFonts w:hint="eastAsia" w:ascii="宋体" w:hAnsi="宋体" w:eastAsia="宋体" w:cs="宋体"/>
          <w:b/>
          <w:snapToGrid w:val="0"/>
          <w:color w:val="auto"/>
          <w:spacing w:val="0"/>
          <w:kern w:val="44"/>
          <w:sz w:val="24"/>
          <w:szCs w:val="24"/>
          <w:highlight w:val="none"/>
          <w:lang w:val="zh-CN" w:bidi="zh-CN"/>
        </w:rPr>
      </w:pPr>
      <w:r>
        <w:rPr>
          <w:rFonts w:hint="eastAsia" w:ascii="宋体" w:hAnsi="宋体" w:eastAsia="宋体" w:cs="宋体"/>
          <w:b/>
          <w:snapToGrid w:val="0"/>
          <w:color w:val="auto"/>
          <w:spacing w:val="0"/>
          <w:kern w:val="44"/>
          <w:sz w:val="24"/>
          <w:szCs w:val="24"/>
          <w:highlight w:val="none"/>
          <w:lang w:bidi="zh-CN"/>
        </w:rPr>
        <w:t>（八）</w:t>
      </w:r>
      <w:r>
        <w:rPr>
          <w:rFonts w:hint="eastAsia" w:ascii="宋体" w:hAnsi="宋体" w:eastAsia="宋体" w:cs="宋体"/>
          <w:b/>
          <w:snapToGrid w:val="0"/>
          <w:color w:val="auto"/>
          <w:spacing w:val="0"/>
          <w:kern w:val="44"/>
          <w:sz w:val="24"/>
          <w:szCs w:val="24"/>
          <w:highlight w:val="none"/>
          <w:lang w:val="zh-CN" w:bidi="zh-CN"/>
        </w:rPr>
        <w:t>质量保证</w:t>
      </w:r>
    </w:p>
    <w:p w14:paraId="73717F30">
      <w:pPr>
        <w:keepNext w:val="0"/>
        <w:keepLines w:val="0"/>
        <w:pageBreakBefore w:val="0"/>
        <w:overflowPunct w:val="0"/>
        <w:bidi w:val="0"/>
        <w:spacing w:line="500" w:lineRule="exact"/>
        <w:ind w:left="523" w:leftChars="21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lang w:val="en-US" w:eastAsia="zh-CN"/>
        </w:rPr>
        <w:t>测试</w:t>
      </w:r>
      <w:r>
        <w:rPr>
          <w:rFonts w:hint="eastAsia" w:ascii="宋体" w:hAnsi="宋体" w:eastAsia="宋体" w:cs="宋体"/>
          <w:color w:val="auto"/>
          <w:spacing w:val="0"/>
          <w:sz w:val="24"/>
          <w:szCs w:val="24"/>
          <w:highlight w:val="none"/>
        </w:rPr>
        <w:t xml:space="preserve">方案和方式科学、可行，人员配备合理、全面满足。          </w:t>
      </w:r>
    </w:p>
    <w:p w14:paraId="09670B59">
      <w:pPr>
        <w:keepNext w:val="0"/>
        <w:keepLines w:val="0"/>
        <w:pageBreakBefore w:val="0"/>
        <w:overflowPunct w:val="0"/>
        <w:bidi w:val="0"/>
        <w:spacing w:line="500" w:lineRule="exact"/>
        <w:ind w:left="523" w:leftChars="21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2.符合国家有关服务规范要求</w:t>
      </w:r>
      <w:r>
        <w:rPr>
          <w:rFonts w:hint="eastAsia" w:ascii="宋体" w:hAnsi="宋体" w:eastAsia="宋体" w:cs="宋体"/>
          <w:color w:val="auto"/>
          <w:spacing w:val="0"/>
          <w:sz w:val="24"/>
          <w:szCs w:val="24"/>
          <w:highlight w:val="none"/>
          <w:lang w:eastAsia="zh-CN"/>
        </w:rPr>
        <w:t>。</w:t>
      </w:r>
    </w:p>
    <w:p w14:paraId="2FA49217">
      <w:pPr>
        <w:keepNext w:val="0"/>
        <w:keepLines w:val="0"/>
        <w:pageBreakBefore w:val="0"/>
        <w:bidi w:val="0"/>
        <w:spacing w:line="500" w:lineRule="exact"/>
        <w:ind w:firstLine="482" w:firstLineChars="200"/>
        <w:rPr>
          <w:rFonts w:hint="eastAsia" w:ascii="宋体" w:hAnsi="宋体" w:eastAsia="宋体" w:cs="宋体"/>
          <w:b/>
          <w:snapToGrid w:val="0"/>
          <w:color w:val="auto"/>
          <w:spacing w:val="0"/>
          <w:kern w:val="44"/>
          <w:sz w:val="24"/>
          <w:szCs w:val="24"/>
          <w:highlight w:val="none"/>
          <w:lang w:val="zh-CN" w:bidi="zh-CN"/>
        </w:rPr>
      </w:pPr>
      <w:r>
        <w:rPr>
          <w:rFonts w:hint="eastAsia" w:ascii="宋体" w:hAnsi="宋体" w:eastAsia="宋体" w:cs="宋体"/>
          <w:b/>
          <w:bCs/>
          <w:color w:val="auto"/>
          <w:spacing w:val="0"/>
          <w:sz w:val="24"/>
          <w:szCs w:val="24"/>
          <w:highlight w:val="none"/>
        </w:rPr>
        <w:t>（</w:t>
      </w:r>
      <w:r>
        <w:rPr>
          <w:rFonts w:hint="eastAsia" w:ascii="宋体" w:hAnsi="宋体" w:eastAsia="宋体" w:cs="宋体"/>
          <w:b/>
          <w:bCs/>
          <w:color w:val="auto"/>
          <w:spacing w:val="0"/>
          <w:sz w:val="24"/>
          <w:szCs w:val="24"/>
          <w:highlight w:val="none"/>
          <w:lang w:eastAsia="zh-CN"/>
        </w:rPr>
        <w:t>九</w:t>
      </w:r>
      <w:r>
        <w:rPr>
          <w:rFonts w:hint="eastAsia" w:ascii="宋体" w:hAnsi="宋体" w:eastAsia="宋体" w:cs="宋体"/>
          <w:b/>
          <w:bCs/>
          <w:color w:val="auto"/>
          <w:spacing w:val="0"/>
          <w:sz w:val="24"/>
          <w:szCs w:val="24"/>
          <w:highlight w:val="none"/>
        </w:rPr>
        <w:t>）</w:t>
      </w:r>
      <w:r>
        <w:rPr>
          <w:rFonts w:hint="eastAsia" w:ascii="宋体" w:hAnsi="宋体" w:eastAsia="宋体" w:cs="宋体"/>
          <w:b/>
          <w:snapToGrid w:val="0"/>
          <w:color w:val="auto"/>
          <w:spacing w:val="0"/>
          <w:kern w:val="44"/>
          <w:sz w:val="24"/>
          <w:szCs w:val="24"/>
          <w:highlight w:val="none"/>
          <w:lang w:val="zh-CN" w:bidi="zh-CN"/>
        </w:rPr>
        <w:t>(甲乙双方) 的权利和义务</w:t>
      </w:r>
    </w:p>
    <w:p w14:paraId="2D30AD40">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1、</w:t>
      </w:r>
      <w:r>
        <w:rPr>
          <w:rFonts w:hint="eastAsia" w:ascii="宋体" w:hAnsi="宋体" w:eastAsia="宋体" w:cs="宋体"/>
          <w:snapToGrid w:val="0"/>
          <w:color w:val="auto"/>
          <w:kern w:val="0"/>
          <w:sz w:val="24"/>
          <w:szCs w:val="24"/>
          <w:highlight w:val="none"/>
        </w:rPr>
        <w:t>甲方的权利和义务</w:t>
      </w:r>
    </w:p>
    <w:p w14:paraId="0AD088F5">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1</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甲方有权指派专门人员或者单位对乙方的工作进行全程监督管理；</w:t>
      </w:r>
    </w:p>
    <w:p w14:paraId="67C3982B">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2</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甲方应按合同约定向乙方支付服务费用。如乙方服务未达到合同要求，甲方有权拒付未达到要求部分的款项；</w:t>
      </w:r>
    </w:p>
    <w:p w14:paraId="50A66EC4">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3</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甲方有权要求乙方提供与相关服务内容有关的相关信息；</w:t>
      </w:r>
    </w:p>
    <w:p w14:paraId="396DFF18">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4</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甲方有权得到符合合同要求的所有服务；</w:t>
      </w:r>
    </w:p>
    <w:p w14:paraId="02D7B3EE">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5</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乙方完成所有协议约定内容后，甲方根据项目实施情况出具的客观公正的书面用户验收意见。</w:t>
      </w:r>
    </w:p>
    <w:p w14:paraId="45FD9A25">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2、</w:t>
      </w:r>
      <w:r>
        <w:rPr>
          <w:rFonts w:hint="eastAsia" w:ascii="宋体" w:hAnsi="宋体" w:eastAsia="宋体" w:cs="宋体"/>
          <w:snapToGrid w:val="0"/>
          <w:color w:val="auto"/>
          <w:kern w:val="0"/>
          <w:sz w:val="24"/>
          <w:szCs w:val="24"/>
          <w:highlight w:val="none"/>
        </w:rPr>
        <w:t>乙方的权利和义务</w:t>
      </w:r>
    </w:p>
    <w:p w14:paraId="3C47E0AB">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1</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合作过程中乙方应指派专门的业务负责人负责合作事项的全程沟通及协调工作；</w:t>
      </w:r>
    </w:p>
    <w:p w14:paraId="7DA088B5">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2</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乙方应遵守甲方有关合作事项的各项管理规定，及时报告工作进度，在规定时间内完成相应工作；</w:t>
      </w:r>
    </w:p>
    <w:p w14:paraId="671F7A08">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3</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甲方在工作质量、工作进度、工作内容等方面提出意见及建议，乙方应及时响应并有效改进；</w:t>
      </w:r>
    </w:p>
    <w:p w14:paraId="1D732B2E">
      <w:pPr>
        <w:autoSpaceDE w:val="0"/>
        <w:autoSpaceDN w:val="0"/>
        <w:adjustRightInd w:val="0"/>
        <w:spacing w:afterLines="0"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4</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rPr>
        <w:t>不得转包、分包；</w:t>
      </w:r>
    </w:p>
    <w:p w14:paraId="515CEE92">
      <w:pPr>
        <w:keepNext w:val="0"/>
        <w:keepLines w:val="0"/>
        <w:pageBreakBefore w:val="0"/>
        <w:bidi w:val="0"/>
        <w:spacing w:line="500" w:lineRule="exact"/>
        <w:ind w:firstLine="482" w:firstLineChars="200"/>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sz w:val="24"/>
          <w:szCs w:val="24"/>
          <w:highlight w:val="none"/>
        </w:rPr>
        <w:t>（十）</w:t>
      </w:r>
      <w:r>
        <w:rPr>
          <w:rFonts w:hint="eastAsia" w:ascii="宋体" w:hAnsi="宋体" w:eastAsia="宋体" w:cs="宋体"/>
          <w:b/>
          <w:bCs/>
          <w:color w:val="auto"/>
          <w:spacing w:val="0"/>
          <w:sz w:val="24"/>
          <w:szCs w:val="24"/>
          <w:highlight w:val="none"/>
          <w:lang w:eastAsia="zh-CN"/>
        </w:rPr>
        <w:t>验收</w:t>
      </w:r>
    </w:p>
    <w:p w14:paraId="7512174E">
      <w:pPr>
        <w:keepNext w:val="0"/>
        <w:keepLines w:val="0"/>
        <w:pageBreakBefore w:val="0"/>
        <w:kinsoku/>
        <w:wordWrap/>
        <w:overflowPunct/>
        <w:topLinePunct w:val="0"/>
        <w:autoSpaceDE/>
        <w:autoSpaceDN/>
        <w:bidi w:val="0"/>
        <w:adjustRightInd/>
        <w:snapToGrid/>
        <w:spacing w:line="500" w:lineRule="exact"/>
        <w:ind w:firstLineChars="200"/>
        <w:textAlignment w:val="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1.验收依据</w:t>
      </w:r>
    </w:p>
    <w:p w14:paraId="5D766102">
      <w:pPr>
        <w:keepNext w:val="0"/>
        <w:keepLines w:val="0"/>
        <w:pageBreakBefore w:val="0"/>
        <w:numPr>
          <w:ilvl w:val="0"/>
          <w:numId w:val="0"/>
        </w:numPr>
        <w:kinsoku/>
        <w:wordWrap/>
        <w:overflowPunct/>
        <w:topLinePunct w:val="0"/>
        <w:autoSpaceDE/>
        <w:autoSpaceDN/>
        <w:bidi w:val="0"/>
        <w:adjustRightInd/>
        <w:snapToGrid/>
        <w:spacing w:line="500" w:lineRule="exact"/>
        <w:ind w:firstLineChars="200"/>
        <w:textAlignment w:val="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以本项目合同、招投标文件、国家相关行业标准为验收依据进行验收。</w:t>
      </w:r>
    </w:p>
    <w:p w14:paraId="577E8505">
      <w:pPr>
        <w:keepNext w:val="0"/>
        <w:keepLines w:val="0"/>
        <w:pageBreakBefore w:val="0"/>
        <w:numPr>
          <w:ilvl w:val="0"/>
          <w:numId w:val="0"/>
        </w:numPr>
        <w:kinsoku/>
        <w:wordWrap/>
        <w:overflowPunct/>
        <w:topLinePunct w:val="0"/>
        <w:autoSpaceDE/>
        <w:autoSpaceDN/>
        <w:bidi w:val="0"/>
        <w:adjustRightInd/>
        <w:snapToGrid/>
        <w:spacing w:line="500" w:lineRule="exact"/>
        <w:ind w:firstLineChars="200"/>
        <w:textAlignment w:val="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2.验收方式</w:t>
      </w:r>
    </w:p>
    <w:p w14:paraId="04BFC308">
      <w:pPr>
        <w:pStyle w:val="11"/>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提出验收申请之日起</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lang w:val="en-US" w:eastAsia="zh-CN"/>
        </w:rPr>
        <w:t>日内组织验收。验收时，</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应无条件予以配合并提供所需的全部资料。</w:t>
      </w:r>
    </w:p>
    <w:p w14:paraId="18BA9589">
      <w:pPr>
        <w:pStyle w:val="11"/>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验收成果：除实际的服务工作，本项目须提交文档成果，包括纸质文档装订成册3套，电子文档1套（电子版与纸质版内容一致），包括但不限于以下文档成果：密码应用测评方案、密码应用测评记录、密码应用测评报告（需包含测评依据、测评过程、测评内容、测评结果及测评结论）、密码应用测评整改建议。</w:t>
      </w:r>
    </w:p>
    <w:p w14:paraId="72835E71">
      <w:pPr>
        <w:keepNext w:val="0"/>
        <w:keepLines w:val="0"/>
        <w:pageBreakBefore w:val="0"/>
        <w:bidi w:val="0"/>
        <w:spacing w:line="500" w:lineRule="exact"/>
        <w:ind w:firstLine="482" w:firstLineChars="200"/>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rPr>
        <w:t>（十</w:t>
      </w:r>
      <w:r>
        <w:rPr>
          <w:rFonts w:hint="eastAsia" w:ascii="宋体" w:hAnsi="宋体" w:eastAsia="宋体" w:cs="宋体"/>
          <w:b/>
          <w:bCs/>
          <w:color w:val="auto"/>
          <w:spacing w:val="0"/>
          <w:sz w:val="24"/>
          <w:szCs w:val="24"/>
          <w:highlight w:val="none"/>
          <w:lang w:eastAsia="zh-CN"/>
        </w:rPr>
        <w:t>一</w:t>
      </w:r>
      <w:r>
        <w:rPr>
          <w:rFonts w:hint="eastAsia" w:ascii="宋体" w:hAnsi="宋体" w:eastAsia="宋体" w:cs="宋体"/>
          <w:b/>
          <w:bCs/>
          <w:color w:val="auto"/>
          <w:spacing w:val="0"/>
          <w:sz w:val="24"/>
          <w:szCs w:val="24"/>
          <w:highlight w:val="none"/>
        </w:rPr>
        <w:t>）</w:t>
      </w:r>
      <w:r>
        <w:rPr>
          <w:rFonts w:hint="eastAsia" w:ascii="宋体" w:hAnsi="宋体" w:eastAsia="宋体" w:cs="宋体"/>
          <w:b/>
          <w:bCs/>
          <w:color w:val="auto"/>
          <w:spacing w:val="0"/>
          <w:sz w:val="24"/>
          <w:szCs w:val="24"/>
          <w:highlight w:val="none"/>
          <w:lang w:eastAsia="zh-CN"/>
        </w:rPr>
        <w:t>保密条款</w:t>
      </w:r>
    </w:p>
    <w:p w14:paraId="6CCD4C1C">
      <w:pPr>
        <w:keepNext w:val="0"/>
        <w:keepLines w:val="0"/>
        <w:pageBreakBefore w:val="0"/>
        <w:bidi w:val="0"/>
        <w:spacing w:line="500" w:lineRule="exact"/>
        <w:ind w:firstLine="480" w:firstLineChars="200"/>
        <w:rPr>
          <w:rFonts w:hint="eastAsia" w:ascii="宋体" w:hAnsi="宋体" w:eastAsia="宋体" w:cs="宋体"/>
          <w:b w:val="0"/>
          <w:bCs w:val="0"/>
          <w:color w:val="auto"/>
          <w:spacing w:val="0"/>
          <w:sz w:val="24"/>
          <w:szCs w:val="24"/>
          <w:highlight w:val="none"/>
          <w:lang w:eastAsia="zh-CN"/>
        </w:rPr>
      </w:pPr>
      <w:r>
        <w:rPr>
          <w:rFonts w:hint="eastAsia" w:ascii="宋体" w:hAnsi="宋体" w:eastAsia="宋体" w:cs="宋体"/>
          <w:b w:val="0"/>
          <w:bCs w:val="0"/>
          <w:color w:val="auto"/>
          <w:spacing w:val="0"/>
          <w:sz w:val="24"/>
          <w:szCs w:val="24"/>
          <w:highlight w:val="none"/>
          <w:lang w:val="en-US" w:eastAsia="zh-CN"/>
        </w:rPr>
        <w:t>1.</w:t>
      </w:r>
      <w:r>
        <w:rPr>
          <w:rFonts w:hint="eastAsia" w:ascii="宋体" w:hAnsi="宋体" w:eastAsia="宋体" w:cs="宋体"/>
          <w:b w:val="0"/>
          <w:bCs w:val="0"/>
          <w:color w:val="auto"/>
          <w:spacing w:val="0"/>
          <w:sz w:val="24"/>
          <w:szCs w:val="24"/>
          <w:highlight w:val="none"/>
        </w:rPr>
        <w:t>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r>
        <w:rPr>
          <w:rFonts w:hint="eastAsia" w:ascii="宋体" w:hAnsi="宋体" w:eastAsia="宋体" w:cs="宋体"/>
          <w:b w:val="0"/>
          <w:bCs w:val="0"/>
          <w:color w:val="auto"/>
          <w:spacing w:val="0"/>
          <w:sz w:val="24"/>
          <w:szCs w:val="24"/>
          <w:highlight w:val="none"/>
          <w:lang w:eastAsia="zh-CN"/>
        </w:rPr>
        <w:t>；</w:t>
      </w:r>
    </w:p>
    <w:p w14:paraId="47F8A5C8">
      <w:pPr>
        <w:keepNext w:val="0"/>
        <w:keepLines w:val="0"/>
        <w:pageBreakBefore w:val="0"/>
        <w:bidi w:val="0"/>
        <w:spacing w:line="500" w:lineRule="exact"/>
        <w:ind w:firstLine="480" w:firstLineChars="200"/>
        <w:rPr>
          <w:rFonts w:hint="eastAsia" w:ascii="宋体" w:hAnsi="宋体" w:eastAsia="宋体" w:cs="宋体"/>
          <w:b w:val="0"/>
          <w:bCs w:val="0"/>
          <w:color w:val="auto"/>
          <w:spacing w:val="0"/>
          <w:sz w:val="24"/>
          <w:szCs w:val="24"/>
          <w:highlight w:val="none"/>
          <w:lang w:eastAsia="zh-CN"/>
        </w:rPr>
      </w:pPr>
      <w:r>
        <w:rPr>
          <w:rFonts w:hint="eastAsia" w:ascii="宋体" w:hAnsi="宋体" w:eastAsia="宋体" w:cs="宋体"/>
          <w:b w:val="0"/>
          <w:bCs w:val="0"/>
          <w:color w:val="auto"/>
          <w:spacing w:val="0"/>
          <w:sz w:val="24"/>
          <w:szCs w:val="24"/>
          <w:highlight w:val="none"/>
          <w:lang w:val="en-US" w:eastAsia="zh-CN"/>
        </w:rPr>
        <w:t>2.</w:t>
      </w:r>
      <w:r>
        <w:rPr>
          <w:rFonts w:hint="eastAsia" w:ascii="宋体" w:hAnsi="宋体" w:eastAsia="宋体" w:cs="宋体"/>
          <w:b w:val="0"/>
          <w:bCs w:val="0"/>
          <w:color w:val="auto"/>
          <w:spacing w:val="0"/>
          <w:sz w:val="24"/>
          <w:szCs w:val="24"/>
          <w:highlight w:val="none"/>
        </w:rPr>
        <w:t>乙方应采取有效措施对甲方提供的资料和数据实施合乎规定(该类规定包括但不限于相关的保密法律、法规、规定、通知等)的保密处理措施，并对此负责</w:t>
      </w:r>
      <w:r>
        <w:rPr>
          <w:rFonts w:hint="eastAsia" w:ascii="宋体" w:hAnsi="宋体" w:eastAsia="宋体" w:cs="宋体"/>
          <w:b w:val="0"/>
          <w:bCs w:val="0"/>
          <w:color w:val="auto"/>
          <w:spacing w:val="0"/>
          <w:sz w:val="24"/>
          <w:szCs w:val="24"/>
          <w:highlight w:val="none"/>
          <w:lang w:eastAsia="zh-CN"/>
        </w:rPr>
        <w:t>；</w:t>
      </w:r>
    </w:p>
    <w:p w14:paraId="2FADC83D">
      <w:pPr>
        <w:keepNext w:val="0"/>
        <w:keepLines w:val="0"/>
        <w:pageBreakBefore w:val="0"/>
        <w:bidi w:val="0"/>
        <w:spacing w:line="500" w:lineRule="exact"/>
        <w:ind w:firstLine="480" w:firstLineChars="200"/>
        <w:rPr>
          <w:rFonts w:hint="eastAsia" w:ascii="宋体" w:hAnsi="宋体" w:eastAsia="宋体" w:cs="宋体"/>
          <w:b w:val="0"/>
          <w:bCs w:val="0"/>
          <w:color w:val="auto"/>
          <w:spacing w:val="0"/>
          <w:sz w:val="24"/>
          <w:szCs w:val="24"/>
          <w:highlight w:val="none"/>
        </w:rPr>
      </w:pPr>
      <w:r>
        <w:rPr>
          <w:rFonts w:hint="eastAsia" w:ascii="宋体" w:hAnsi="宋体" w:eastAsia="宋体" w:cs="宋体"/>
          <w:b w:val="0"/>
          <w:bCs w:val="0"/>
          <w:color w:val="auto"/>
          <w:spacing w:val="0"/>
          <w:sz w:val="24"/>
          <w:szCs w:val="24"/>
          <w:highlight w:val="none"/>
          <w:lang w:val="en-US" w:eastAsia="zh-CN"/>
        </w:rPr>
        <w:t>3.</w:t>
      </w:r>
      <w:r>
        <w:rPr>
          <w:rFonts w:hint="eastAsia" w:ascii="宋体" w:hAnsi="宋体" w:eastAsia="宋体" w:cs="宋体"/>
          <w:b w:val="0"/>
          <w:bCs w:val="0"/>
          <w:color w:val="auto"/>
          <w:spacing w:val="0"/>
          <w:sz w:val="24"/>
          <w:szCs w:val="24"/>
          <w:highlight w:val="none"/>
        </w:rPr>
        <w:t>乙方有义务遵守和配合执行甲方的保密管理规定与保密措施，并在项目实施完成后，归还甲方提供的全部资料。</w:t>
      </w:r>
    </w:p>
    <w:p w14:paraId="44D1BEED">
      <w:pPr>
        <w:keepNext w:val="0"/>
        <w:keepLines w:val="0"/>
        <w:pageBreakBefore w:val="0"/>
        <w:bidi w:val="0"/>
        <w:spacing w:line="500" w:lineRule="exact"/>
        <w:ind w:firstLine="482" w:firstLineChars="200"/>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sz w:val="24"/>
          <w:szCs w:val="24"/>
          <w:highlight w:val="none"/>
        </w:rPr>
        <w:t>（十</w:t>
      </w:r>
      <w:r>
        <w:rPr>
          <w:rFonts w:hint="eastAsia" w:ascii="宋体" w:hAnsi="宋体" w:eastAsia="宋体" w:cs="宋体"/>
          <w:b/>
          <w:bCs/>
          <w:color w:val="auto"/>
          <w:spacing w:val="0"/>
          <w:sz w:val="24"/>
          <w:szCs w:val="24"/>
          <w:highlight w:val="none"/>
          <w:lang w:eastAsia="zh-CN"/>
        </w:rPr>
        <w:t>二</w:t>
      </w:r>
      <w:r>
        <w:rPr>
          <w:rFonts w:hint="eastAsia" w:ascii="宋体" w:hAnsi="宋体" w:eastAsia="宋体" w:cs="宋体"/>
          <w:b/>
          <w:bCs/>
          <w:color w:val="auto"/>
          <w:spacing w:val="0"/>
          <w:sz w:val="24"/>
          <w:szCs w:val="24"/>
          <w:highlight w:val="none"/>
        </w:rPr>
        <w:t>）违约责任</w:t>
      </w:r>
    </w:p>
    <w:p w14:paraId="5CBD9287">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1</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19A46B86">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2</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因乙方行为违反法律规定产生引起的民事和刑事责任由乙方承担；</w:t>
      </w:r>
    </w:p>
    <w:p w14:paraId="59BD218E">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3</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因乙方行为侵害第三方权益的，</w:t>
      </w:r>
      <w:r>
        <w:rPr>
          <w:rFonts w:hint="eastAsia" w:ascii="宋体" w:hAnsi="宋体" w:eastAsia="宋体" w:cs="宋体"/>
          <w:color w:val="auto"/>
          <w:szCs w:val="24"/>
          <w:highlight w:val="none"/>
          <w:lang w:val="zh-CN" w:eastAsia="zh-CN"/>
        </w:rPr>
        <w:t>由乙方承担全部侵权责任，且甲方有权解除本合同，并要求乙方支付合同总价款</w:t>
      </w:r>
      <w:r>
        <w:rPr>
          <w:rFonts w:hint="eastAsia" w:ascii="宋体" w:hAnsi="宋体" w:eastAsia="宋体" w:cs="宋体"/>
          <w:color w:val="auto"/>
          <w:szCs w:val="24"/>
          <w:highlight w:val="none"/>
          <w:lang w:val="en-US" w:eastAsia="zh-CN"/>
        </w:rPr>
        <w:t>10</w:t>
      </w:r>
      <w:r>
        <w:rPr>
          <w:rFonts w:hint="eastAsia" w:ascii="宋体" w:hAnsi="宋体" w:eastAsia="宋体" w:cs="宋体"/>
          <w:color w:val="auto"/>
          <w:szCs w:val="24"/>
          <w:highlight w:val="none"/>
          <w:lang w:val="zh-CN" w:eastAsia="zh-CN"/>
        </w:rPr>
        <w:t>%的违约金，造成甲方经济损失的，乙方应当承担全部赔偿责任</w:t>
      </w:r>
      <w:r>
        <w:rPr>
          <w:rFonts w:hint="eastAsia" w:ascii="宋体" w:hAnsi="宋体" w:eastAsia="宋体" w:cs="宋体"/>
          <w:color w:val="auto"/>
          <w:szCs w:val="24"/>
          <w:highlight w:val="none"/>
          <w:lang w:val="zh-CN"/>
        </w:rPr>
        <w:t>；</w:t>
      </w:r>
    </w:p>
    <w:p w14:paraId="185191E7">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eastAsia="zh-CN"/>
        </w:rPr>
        <w:t>4</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乙方违反保密规定，</w:t>
      </w:r>
      <w:r>
        <w:rPr>
          <w:rFonts w:hint="eastAsia" w:ascii="宋体" w:hAnsi="宋体" w:eastAsia="宋体" w:cs="宋体"/>
          <w:color w:val="auto"/>
          <w:szCs w:val="24"/>
          <w:highlight w:val="none"/>
          <w:lang w:val="zh-CN" w:eastAsia="zh-CN"/>
        </w:rPr>
        <w:t>或将本项目转委托他人的，甲方有权解除本合同，并要求乙方支付合同总价款</w:t>
      </w:r>
      <w:r>
        <w:rPr>
          <w:rFonts w:hint="eastAsia" w:ascii="宋体" w:hAnsi="宋体" w:eastAsia="宋体" w:cs="宋体"/>
          <w:color w:val="auto"/>
          <w:szCs w:val="24"/>
          <w:highlight w:val="none"/>
          <w:lang w:val="en-US" w:eastAsia="zh-CN"/>
        </w:rPr>
        <w:t>10</w:t>
      </w:r>
      <w:r>
        <w:rPr>
          <w:rFonts w:hint="eastAsia" w:ascii="宋体" w:hAnsi="宋体" w:eastAsia="宋体" w:cs="宋体"/>
          <w:color w:val="auto"/>
          <w:szCs w:val="24"/>
          <w:highlight w:val="none"/>
          <w:lang w:val="zh-CN" w:eastAsia="zh-CN"/>
        </w:rPr>
        <w:t>%的违约金。造成甲方经济损失的，乙方应当承担全部赔偿责任</w:t>
      </w:r>
      <w:r>
        <w:rPr>
          <w:rFonts w:hint="eastAsia" w:ascii="宋体" w:hAnsi="宋体" w:eastAsia="宋体" w:cs="宋体"/>
          <w:color w:val="auto"/>
          <w:szCs w:val="24"/>
          <w:highlight w:val="none"/>
          <w:lang w:val="zh-CN"/>
        </w:rPr>
        <w:t>；</w:t>
      </w:r>
    </w:p>
    <w:p w14:paraId="003A9CD6">
      <w:pPr>
        <w:adjustRightInd w:val="0"/>
        <w:spacing w:line="500" w:lineRule="exact"/>
        <w:ind w:firstLine="480" w:firstLineChars="200"/>
        <w:rPr>
          <w:rFonts w:hint="eastAsia" w:ascii="宋体" w:hAnsi="宋体" w:eastAsia="宋体" w:cs="宋体"/>
          <w:color w:val="auto"/>
          <w:szCs w:val="24"/>
          <w:highlight w:val="none"/>
          <w:lang w:val="zh-CN" w:eastAsia="zh-CN"/>
        </w:rPr>
      </w:pPr>
      <w:r>
        <w:rPr>
          <w:rFonts w:hint="eastAsia" w:ascii="宋体" w:hAnsi="宋体" w:eastAsia="宋体" w:cs="宋体"/>
          <w:color w:val="auto"/>
          <w:szCs w:val="24"/>
          <w:highlight w:val="none"/>
          <w:lang w:val="zh-CN" w:eastAsia="zh-CN"/>
        </w:rPr>
        <w:t>5</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eastAsia="zh-CN"/>
        </w:rPr>
        <w:t>甲、乙双方任何一方违约，除承担本合同约定的违约责任外，还应向对方支付因主张违约产生的全部费用（包括但不限于律师费、诉讼费、差旅费、保全费、保险费、鉴定费、公告费等）。</w:t>
      </w:r>
    </w:p>
    <w:p w14:paraId="1CC3B17A">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en-US" w:eastAsia="zh-CN"/>
        </w:rPr>
        <w:t>6.</w:t>
      </w:r>
      <w:r>
        <w:rPr>
          <w:rFonts w:hint="eastAsia" w:ascii="宋体" w:hAnsi="宋体" w:eastAsia="宋体" w:cs="宋体"/>
          <w:color w:val="auto"/>
          <w:szCs w:val="24"/>
          <w:highlight w:val="none"/>
          <w:lang w:val="zh-CN"/>
        </w:rPr>
        <w:t>其他未尽事宜按《中华人民共和国民法典》中的相关条款执行。</w:t>
      </w:r>
    </w:p>
    <w:p w14:paraId="4B31EB5A">
      <w:pPr>
        <w:keepNext w:val="0"/>
        <w:keepLines w:val="0"/>
        <w:pageBreakBefore w:val="0"/>
        <w:widowControl w:val="0"/>
        <w:kinsoku/>
        <w:wordWrap/>
        <w:topLinePunct w:val="0"/>
        <w:bidi w:val="0"/>
        <w:snapToGrid/>
        <w:spacing w:line="500" w:lineRule="exact"/>
        <w:ind w:firstLine="0" w:firstLineChars="0"/>
        <w:jc w:val="left"/>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（十</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）合同变更、解除及终止的条件</w:t>
      </w:r>
    </w:p>
    <w:p w14:paraId="663BEAE2">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1.有下述情形之一，</w:t>
      </w:r>
      <w:r>
        <w:rPr>
          <w:rFonts w:hint="eastAsia" w:ascii="宋体" w:hAnsi="宋体" w:eastAsia="宋体" w:cs="宋体"/>
          <w:snapToGrid w:val="0"/>
          <w:color w:val="auto"/>
          <w:spacing w:val="0"/>
          <w:kern w:val="0"/>
          <w:sz w:val="24"/>
          <w:szCs w:val="24"/>
          <w:highlight w:val="none"/>
          <w:lang w:val="en-US" w:eastAsia="zh-CN"/>
        </w:rPr>
        <w:t>非过错方</w:t>
      </w:r>
      <w:r>
        <w:rPr>
          <w:rFonts w:hint="eastAsia" w:ascii="宋体" w:hAnsi="宋体" w:eastAsia="宋体" w:cs="宋体"/>
          <w:snapToGrid w:val="0"/>
          <w:color w:val="auto"/>
          <w:spacing w:val="0"/>
          <w:kern w:val="0"/>
          <w:sz w:val="24"/>
          <w:szCs w:val="24"/>
          <w:highlight w:val="none"/>
        </w:rPr>
        <w:t>可发出书面通知全部或部分地解除合同，合同自通知到达对方时全部或部分地解除：</w:t>
      </w:r>
    </w:p>
    <w:p w14:paraId="6D8E7250">
      <w:pPr>
        <w:keepNext w:val="0"/>
        <w:keepLines w:val="0"/>
        <w:pageBreakBefore w:val="0"/>
        <w:widowControl w:val="0"/>
        <w:kinsoku/>
        <w:wordWrap/>
        <w:overflowPunct w:val="0"/>
        <w:topLinePunct w:val="0"/>
        <w:bidi w:val="0"/>
        <w:snapToGrid/>
        <w:spacing w:after="0" w:afterLines="0" w:line="460" w:lineRule="exact"/>
        <w:ind w:firstLine="480" w:firstLineChars="200"/>
        <w:jc w:val="left"/>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（1）如果乙方未能在合同</w:t>
      </w:r>
      <w:r>
        <w:rPr>
          <w:rFonts w:hint="eastAsia" w:ascii="宋体" w:hAnsi="宋体" w:eastAsia="宋体" w:cs="宋体"/>
          <w:snapToGrid w:val="0"/>
          <w:color w:val="auto"/>
          <w:spacing w:val="0"/>
          <w:kern w:val="0"/>
          <w:sz w:val="24"/>
          <w:szCs w:val="24"/>
          <w:highlight w:val="none"/>
          <w:lang w:eastAsia="zh-CN"/>
        </w:rPr>
        <w:t>约定</w:t>
      </w:r>
      <w:r>
        <w:rPr>
          <w:rFonts w:hint="eastAsia" w:ascii="宋体" w:hAnsi="宋体" w:eastAsia="宋体" w:cs="宋体"/>
          <w:snapToGrid w:val="0"/>
          <w:color w:val="auto"/>
          <w:spacing w:val="0"/>
          <w:kern w:val="0"/>
          <w:sz w:val="24"/>
          <w:szCs w:val="24"/>
          <w:highlight w:val="none"/>
        </w:rPr>
        <w:t>的期限内或甲方根据合同条款的规定同意延长的期限内完成项目；或误期赔偿费达到最高限额。</w:t>
      </w:r>
    </w:p>
    <w:p w14:paraId="31227E36">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（2）如果乙方未能履行合同</w:t>
      </w:r>
      <w:r>
        <w:rPr>
          <w:rFonts w:hint="eastAsia" w:ascii="宋体" w:hAnsi="宋体" w:eastAsia="宋体" w:cs="宋体"/>
          <w:snapToGrid w:val="0"/>
          <w:color w:val="auto"/>
          <w:spacing w:val="0"/>
          <w:kern w:val="0"/>
          <w:sz w:val="24"/>
          <w:szCs w:val="24"/>
          <w:highlight w:val="none"/>
          <w:lang w:eastAsia="zh-CN"/>
        </w:rPr>
        <w:t>约定</w:t>
      </w:r>
      <w:r>
        <w:rPr>
          <w:rFonts w:hint="eastAsia" w:ascii="宋体" w:hAnsi="宋体" w:eastAsia="宋体" w:cs="宋体"/>
          <w:snapToGrid w:val="0"/>
          <w:color w:val="auto"/>
          <w:spacing w:val="0"/>
          <w:kern w:val="0"/>
          <w:sz w:val="24"/>
          <w:szCs w:val="24"/>
          <w:highlight w:val="none"/>
        </w:rPr>
        <w:t>的其它任何义务。</w:t>
      </w:r>
    </w:p>
    <w:p w14:paraId="3AE2392E">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（3）乙方提供的服务内容不符合招标、投标文件规定或不合格的或本项目不能通过验收的。</w:t>
      </w:r>
    </w:p>
    <w:p w14:paraId="4F819280">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（4）乙方未能履行合同项下任何其它义务（细微义务除外），或在未事先征得甲方同意的情况下，从事任何可能在实质上不利影响其履行合同能力的活动，经甲方书面通知后 15 日内未能对其行为作出补救。</w:t>
      </w:r>
    </w:p>
    <w:p w14:paraId="58212479">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textAlignment w:val="auto"/>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（5）合同一方当事人出现破产、清算、资不抵债、成为失信被执行人等可能丧失履约能力的情形。</w:t>
      </w:r>
    </w:p>
    <w:p w14:paraId="0E7389AC">
      <w:pPr>
        <w:pStyle w:val="4"/>
        <w:keepNext w:val="0"/>
        <w:keepLines w:val="0"/>
        <w:pageBreakBefore w:val="0"/>
        <w:widowControl/>
        <w:kinsoku w:val="0"/>
        <w:wordWrap/>
        <w:topLinePunct w:val="0"/>
        <w:autoSpaceDE w:val="0"/>
        <w:autoSpaceDN w:val="0"/>
        <w:bidi w:val="0"/>
        <w:adjustRightInd w:val="0"/>
        <w:snapToGrid w:val="0"/>
        <w:spacing w:after="0" w:afterLines="0" w:line="460" w:lineRule="exact"/>
        <w:ind w:firstLine="480" w:firstLineChars="200"/>
        <w:textAlignment w:val="baseline"/>
        <w:rPr>
          <w:rFonts w:hint="eastAsia" w:ascii="宋体" w:hAnsi="宋体" w:eastAsia="宋体" w:cs="宋体"/>
          <w:snapToGrid w:val="0"/>
          <w:color w:val="auto"/>
          <w:spacing w:val="0"/>
          <w:kern w:val="0"/>
          <w:sz w:val="24"/>
          <w:szCs w:val="24"/>
          <w:highlight w:val="none"/>
        </w:rPr>
      </w:pPr>
      <w:r>
        <w:rPr>
          <w:rFonts w:hint="eastAsia" w:ascii="宋体" w:hAnsi="宋体" w:eastAsia="宋体" w:cs="宋体"/>
          <w:snapToGrid w:val="0"/>
          <w:color w:val="auto"/>
          <w:spacing w:val="0"/>
          <w:kern w:val="0"/>
          <w:sz w:val="24"/>
          <w:szCs w:val="24"/>
          <w:highlight w:val="none"/>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0A7376DD">
      <w:pPr>
        <w:keepNext w:val="0"/>
        <w:keepLines w:val="0"/>
        <w:pageBreakBefore w:val="0"/>
        <w:wordWrap/>
        <w:topLinePunct w:val="0"/>
        <w:autoSpaceDE w:val="0"/>
        <w:autoSpaceDN w:val="0"/>
        <w:bidi w:val="0"/>
        <w:adjustRightInd w:val="0"/>
        <w:spacing w:after="0" w:afterLines="0" w:line="460" w:lineRule="exact"/>
        <w:ind w:firstLine="480" w:firstLineChars="200"/>
        <w:rPr>
          <w:rFonts w:hint="eastAsia" w:ascii="Times New Roman" w:hAnsi="Times New Roman" w:eastAsia="宋体" w:cs="Times New Roman"/>
          <w:color w:val="auto"/>
          <w:sz w:val="24"/>
          <w:szCs w:val="24"/>
          <w:highlight w:val="none"/>
        </w:rPr>
      </w:pPr>
      <w:r>
        <w:rPr>
          <w:rFonts w:hint="eastAsia" w:ascii="宋体" w:hAnsi="宋体" w:eastAsia="宋体" w:cs="宋体"/>
          <w:snapToGrid w:val="0"/>
          <w:color w:val="auto"/>
          <w:spacing w:val="0"/>
          <w:kern w:val="0"/>
          <w:sz w:val="24"/>
          <w:szCs w:val="24"/>
          <w:highlight w:val="none"/>
        </w:rPr>
        <w:t>3.在乙方违约的情况下，甲方报告政府采购管理部门后，有权终止合同</w:t>
      </w:r>
      <w:r>
        <w:rPr>
          <w:rFonts w:hint="eastAsia" w:ascii="宋体" w:hAnsi="宋体" w:eastAsia="宋体" w:cs="宋体"/>
          <w:snapToGrid w:val="0"/>
          <w:color w:val="auto"/>
          <w:spacing w:val="0"/>
          <w:kern w:val="0"/>
          <w:sz w:val="24"/>
          <w:szCs w:val="24"/>
          <w:highlight w:val="none"/>
          <w:lang w:val="en-US" w:eastAsia="zh-CN"/>
        </w:rPr>
        <w:t>以及要求乙方支付合同总金额20%的违约金</w:t>
      </w:r>
      <w:r>
        <w:rPr>
          <w:rFonts w:hint="eastAsia" w:ascii="宋体" w:hAnsi="宋体" w:eastAsia="宋体" w:cs="宋体"/>
          <w:snapToGrid w:val="0"/>
          <w:color w:val="auto"/>
          <w:spacing w:val="0"/>
          <w:kern w:val="0"/>
          <w:sz w:val="24"/>
          <w:szCs w:val="24"/>
          <w:highlight w:val="none"/>
        </w:rPr>
        <w:t>，并依法向乙方进行索赔实际损失(包括但不限于维权所支出的律师费、诉讼费、交通费等)。</w:t>
      </w:r>
    </w:p>
    <w:p w14:paraId="7EA7B92C">
      <w:pPr>
        <w:spacing w:line="480" w:lineRule="exact"/>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（十</w:t>
      </w:r>
      <w:r>
        <w:rPr>
          <w:rFonts w:hint="eastAsia" w:ascii="宋体" w:hAnsi="宋体" w:eastAsia="宋体" w:cs="宋体"/>
          <w:b/>
          <w:bCs/>
          <w:color w:val="auto"/>
          <w:szCs w:val="24"/>
          <w:highlight w:val="none"/>
          <w:lang w:eastAsia="zh-CN"/>
        </w:rPr>
        <w:t>四</w:t>
      </w:r>
      <w:r>
        <w:rPr>
          <w:rFonts w:hint="eastAsia" w:ascii="宋体" w:hAnsi="宋体" w:eastAsia="宋体" w:cs="宋体"/>
          <w:b/>
          <w:bCs/>
          <w:color w:val="auto"/>
          <w:szCs w:val="24"/>
          <w:highlight w:val="none"/>
        </w:rPr>
        <w:t>）不可抗力情况下的免责约定</w:t>
      </w:r>
    </w:p>
    <w:p w14:paraId="3C0E922C">
      <w:pPr>
        <w:pStyle w:val="12"/>
        <w:spacing w:after="0" w:line="480" w:lineRule="exact"/>
        <w:ind w:firstLine="480" w:firstLineChars="200"/>
        <w:jc w:val="both"/>
        <w:rPr>
          <w:rFonts w:hint="eastAsia" w:eastAsia="宋体"/>
          <w:color w:val="auto"/>
          <w:sz w:val="24"/>
          <w:szCs w:val="24"/>
          <w:highlight w:val="none"/>
        </w:rPr>
      </w:pPr>
      <w:r>
        <w:rPr>
          <w:rFonts w:hint="eastAsia" w:eastAsia="宋体"/>
          <w:color w:val="auto"/>
          <w:sz w:val="24"/>
          <w:szCs w:val="24"/>
          <w:highlight w:val="none"/>
          <w:lang w:val="en-US"/>
        </w:rPr>
        <w:t>1、</w:t>
      </w:r>
      <w:r>
        <w:rPr>
          <w:rFonts w:hint="eastAsia" w:eastAsia="宋体"/>
          <w:color w:val="auto"/>
          <w:sz w:val="24"/>
          <w:szCs w:val="24"/>
          <w:highlight w:val="none"/>
        </w:rPr>
        <w:t>在合同履行期间发生不可抗力的，双方均不承担法律责任，但应当及时通知对方。不可抗力是指不能预见、不可避免且不能克服的客观情况，包括但不限于地震、泥石流、火灾、洪水、战争等客观原因。</w:t>
      </w:r>
    </w:p>
    <w:p w14:paraId="7C0B05E3">
      <w:pPr>
        <w:pStyle w:val="12"/>
        <w:spacing w:after="0" w:line="480" w:lineRule="exact"/>
        <w:ind w:firstLine="480" w:firstLineChars="200"/>
        <w:jc w:val="both"/>
        <w:rPr>
          <w:rFonts w:hint="eastAsia" w:eastAsia="宋体"/>
          <w:color w:val="auto"/>
          <w:sz w:val="24"/>
          <w:szCs w:val="24"/>
          <w:highlight w:val="none"/>
        </w:rPr>
      </w:pPr>
      <w:r>
        <w:rPr>
          <w:rFonts w:hint="eastAsia" w:eastAsia="宋体"/>
          <w:color w:val="auto"/>
          <w:sz w:val="24"/>
          <w:szCs w:val="24"/>
          <w:highlight w:val="none"/>
          <w:lang w:val="en-US"/>
        </w:rPr>
        <w:t>2、</w:t>
      </w:r>
      <w:r>
        <w:rPr>
          <w:rFonts w:hint="eastAsia" w:eastAsia="宋体"/>
          <w:color w:val="auto"/>
          <w:sz w:val="24"/>
          <w:szCs w:val="24"/>
          <w:highlight w:val="none"/>
        </w:rPr>
        <w:t>因不可抗力影响合同正常履行，甲乙双方应当协商顺延工作时限；因不可抗力导致合同目的不能实现的，双方可以解除合同。</w:t>
      </w:r>
    </w:p>
    <w:p w14:paraId="2DF2A7B7">
      <w:pPr>
        <w:pStyle w:val="12"/>
        <w:spacing w:after="0" w:line="480" w:lineRule="exact"/>
        <w:ind w:firstLine="480" w:firstLineChars="200"/>
        <w:jc w:val="both"/>
        <w:rPr>
          <w:rFonts w:hint="eastAsia" w:eastAsia="宋体"/>
          <w:b/>
          <w:color w:val="auto"/>
          <w:sz w:val="24"/>
          <w:szCs w:val="24"/>
          <w:highlight w:val="none"/>
        </w:rPr>
      </w:pPr>
      <w:r>
        <w:rPr>
          <w:rFonts w:hint="eastAsia" w:eastAsia="宋体"/>
          <w:color w:val="auto"/>
          <w:sz w:val="24"/>
          <w:szCs w:val="24"/>
          <w:highlight w:val="none"/>
          <w:lang w:val="en-US"/>
        </w:rPr>
        <w:t>3、</w:t>
      </w:r>
      <w:r>
        <w:rPr>
          <w:rFonts w:hint="eastAsia" w:eastAsia="宋体"/>
          <w:color w:val="auto"/>
          <w:sz w:val="24"/>
          <w:szCs w:val="24"/>
          <w:highlight w:val="none"/>
        </w:rPr>
        <w:t>一方迟延履行后，发生不可抗力的，不能免除迟延履行一方的法律责任。</w:t>
      </w:r>
    </w:p>
    <w:p w14:paraId="3765F1C1">
      <w:pPr>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line="500" w:lineRule="exact"/>
        <w:ind w:left="0" w:firstLine="482" w:firstLineChars="200"/>
        <w:jc w:val="both"/>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（十</w:t>
      </w:r>
      <w:r>
        <w:rPr>
          <w:rFonts w:hint="eastAsia" w:ascii="宋体" w:hAnsi="宋体" w:eastAsia="宋体" w:cs="宋体"/>
          <w:b/>
          <w:bCs/>
          <w:color w:val="auto"/>
          <w:szCs w:val="24"/>
          <w:highlight w:val="none"/>
          <w:lang w:eastAsia="zh-CN"/>
        </w:rPr>
        <w:t>五</w:t>
      </w:r>
      <w:r>
        <w:rPr>
          <w:rFonts w:hint="eastAsia" w:ascii="宋体" w:hAnsi="宋体" w:eastAsia="宋体" w:cs="宋体"/>
          <w:b/>
          <w:bCs/>
          <w:color w:val="auto"/>
          <w:szCs w:val="24"/>
          <w:highlight w:val="none"/>
        </w:rPr>
        <w:t>）</w:t>
      </w:r>
      <w:r>
        <w:rPr>
          <w:rFonts w:hint="eastAsia" w:ascii="宋体" w:hAnsi="宋体" w:eastAsia="宋体" w:cs="宋体"/>
          <w:b/>
          <w:bCs/>
          <w:color w:val="auto"/>
          <w:highlight w:val="none"/>
        </w:rPr>
        <w:t>合同争议解决方式</w:t>
      </w:r>
    </w:p>
    <w:p w14:paraId="4346D7D4">
      <w:pPr>
        <w:spacing w:line="460" w:lineRule="exact"/>
        <w:ind w:right="-288" w:rightChars="-120"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因执行本合同所发生的或与本合同有关的一切争议,双方应通过友好协商解决，协商不成的向甲方所在地人民法院提起诉讼</w:t>
      </w:r>
      <w:r>
        <w:rPr>
          <w:rFonts w:hint="eastAsia" w:ascii="宋体" w:hAnsi="宋体" w:cs="宋体"/>
          <w:color w:val="auto"/>
          <w:highlight w:val="none"/>
          <w:lang w:eastAsia="zh-CN"/>
        </w:rPr>
        <w:t>。</w:t>
      </w:r>
      <w:bookmarkStart w:id="6" w:name="_GoBack"/>
      <w:bookmarkEnd w:id="6"/>
    </w:p>
    <w:p w14:paraId="15484C84">
      <w:pPr>
        <w:spacing w:line="480" w:lineRule="exact"/>
        <w:ind w:firstLine="482" w:firstLineChars="200"/>
        <w:rPr>
          <w:rFonts w:hint="eastAsia" w:ascii="宋体" w:hAnsi="宋体" w:eastAsia="宋体" w:cs="宋体"/>
          <w:color w:val="auto"/>
          <w:szCs w:val="24"/>
          <w:highlight w:val="none"/>
        </w:rPr>
      </w:pPr>
      <w:r>
        <w:rPr>
          <w:rFonts w:hint="eastAsia" w:ascii="宋体" w:hAnsi="宋体" w:eastAsia="宋体" w:cs="宋体"/>
          <w:b/>
          <w:bCs/>
          <w:color w:val="auto"/>
          <w:szCs w:val="24"/>
          <w:highlight w:val="none"/>
        </w:rPr>
        <w:t>（十</w:t>
      </w:r>
      <w:r>
        <w:rPr>
          <w:rFonts w:hint="eastAsia" w:ascii="宋体" w:hAnsi="宋体" w:eastAsia="宋体" w:cs="宋体"/>
          <w:b/>
          <w:bCs/>
          <w:color w:val="auto"/>
          <w:szCs w:val="24"/>
          <w:highlight w:val="none"/>
          <w:lang w:eastAsia="zh-CN"/>
        </w:rPr>
        <w:t>六</w:t>
      </w:r>
      <w:r>
        <w:rPr>
          <w:rFonts w:hint="eastAsia" w:ascii="宋体" w:hAnsi="宋体" w:eastAsia="宋体" w:cs="宋体"/>
          <w:b/>
          <w:bCs/>
          <w:color w:val="auto"/>
          <w:szCs w:val="24"/>
          <w:highlight w:val="none"/>
        </w:rPr>
        <w:t>）生效条件、订立日期</w:t>
      </w:r>
    </w:p>
    <w:p w14:paraId="412B2174">
      <w:pPr>
        <w:wordWrap w:val="0"/>
        <w:spacing w:line="48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1、订立时间： </w:t>
      </w:r>
      <w:r>
        <w:rPr>
          <w:rFonts w:hint="eastAsia" w:ascii="宋体" w:hAnsi="宋体" w:eastAsia="宋体" w:cs="宋体"/>
          <w:color w:val="auto"/>
          <w:szCs w:val="24"/>
          <w:highlight w:val="none"/>
          <w:u w:val="single"/>
        </w:rPr>
        <w:t xml:space="preserve">      年     月   日</w:t>
      </w:r>
      <w:r>
        <w:rPr>
          <w:rFonts w:hint="eastAsia" w:ascii="宋体" w:hAnsi="宋体" w:eastAsia="宋体" w:cs="宋体"/>
          <w:color w:val="auto"/>
          <w:szCs w:val="24"/>
          <w:highlight w:val="none"/>
        </w:rPr>
        <w:t>。</w:t>
      </w:r>
    </w:p>
    <w:p w14:paraId="3D95E93D">
      <w:pPr>
        <w:wordWrap w:val="0"/>
        <w:spacing w:line="48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2、订立地点： </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365E2E72">
      <w:pPr>
        <w:wordWrap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3、本合同正本</w:t>
      </w:r>
      <w:r>
        <w:rPr>
          <w:rFonts w:hint="eastAsia" w:ascii="宋体" w:hAnsi="宋体" w:eastAsia="宋体" w:cs="宋体"/>
          <w:b w:val="0"/>
          <w:bCs w:val="0"/>
          <w:color w:val="auto"/>
          <w:szCs w:val="24"/>
          <w:highlight w:val="none"/>
        </w:rPr>
        <w:t>一式</w:t>
      </w:r>
      <w:r>
        <w:rPr>
          <w:rFonts w:hint="eastAsia" w:ascii="宋体" w:hAnsi="宋体" w:eastAsia="宋体" w:cs="宋体"/>
          <w:b w:val="0"/>
          <w:bCs w:val="0"/>
          <w:color w:val="auto"/>
          <w:szCs w:val="24"/>
          <w:highlight w:val="none"/>
          <w:u w:val="single"/>
          <w:lang w:val="en-US" w:eastAsia="zh-CN"/>
        </w:rPr>
        <w:t xml:space="preserve"> 柒 </w:t>
      </w:r>
      <w:r>
        <w:rPr>
          <w:rFonts w:hint="eastAsia" w:ascii="宋体" w:hAnsi="宋体" w:eastAsia="宋体" w:cs="宋体"/>
          <w:b w:val="0"/>
          <w:bCs w:val="0"/>
          <w:color w:val="auto"/>
          <w:szCs w:val="24"/>
          <w:highlight w:val="none"/>
        </w:rPr>
        <w:t>份，</w:t>
      </w:r>
      <w:r>
        <w:rPr>
          <w:rFonts w:hint="eastAsia" w:ascii="宋体" w:hAnsi="宋体" w:eastAsia="宋体" w:cs="宋体"/>
          <w:b w:val="0"/>
          <w:bCs w:val="0"/>
          <w:color w:val="auto"/>
          <w:szCs w:val="24"/>
          <w:highlight w:val="none"/>
          <w:lang w:eastAsia="zh-CN"/>
        </w:rPr>
        <w:t>甲方</w:t>
      </w:r>
      <w:r>
        <w:rPr>
          <w:rFonts w:hint="eastAsia" w:ascii="宋体" w:hAnsi="宋体" w:eastAsia="宋体" w:cs="宋体"/>
          <w:b w:val="0"/>
          <w:bCs w:val="0"/>
          <w:color w:val="auto"/>
          <w:szCs w:val="24"/>
          <w:highlight w:val="none"/>
          <w:u w:val="single"/>
          <w:lang w:val="en-US" w:eastAsia="zh-CN"/>
        </w:rPr>
        <w:t xml:space="preserve"> 肆 </w:t>
      </w:r>
      <w:r>
        <w:rPr>
          <w:rFonts w:hint="eastAsia" w:ascii="宋体" w:hAnsi="宋体" w:eastAsia="宋体" w:cs="宋体"/>
          <w:b w:val="0"/>
          <w:bCs w:val="0"/>
          <w:color w:val="auto"/>
          <w:szCs w:val="24"/>
          <w:highlight w:val="none"/>
          <w:lang w:val="en-US" w:eastAsia="zh-CN"/>
        </w:rPr>
        <w:t>份；乙方</w:t>
      </w:r>
      <w:r>
        <w:rPr>
          <w:rFonts w:hint="eastAsia" w:ascii="宋体" w:hAnsi="宋体" w:eastAsia="宋体" w:cs="宋体"/>
          <w:b w:val="0"/>
          <w:bCs w:val="0"/>
          <w:color w:val="auto"/>
          <w:szCs w:val="24"/>
          <w:highlight w:val="none"/>
          <w:u w:val="single"/>
          <w:lang w:val="en-US" w:eastAsia="zh-CN"/>
        </w:rPr>
        <w:t xml:space="preserve"> 贰 </w:t>
      </w:r>
      <w:r>
        <w:rPr>
          <w:rFonts w:hint="eastAsia" w:ascii="宋体" w:hAnsi="宋体" w:eastAsia="宋体" w:cs="宋体"/>
          <w:b w:val="0"/>
          <w:bCs w:val="0"/>
          <w:color w:val="auto"/>
          <w:szCs w:val="24"/>
          <w:highlight w:val="none"/>
          <w:lang w:val="en-US" w:eastAsia="zh-CN"/>
        </w:rPr>
        <w:t>份</w:t>
      </w:r>
      <w:r>
        <w:rPr>
          <w:rFonts w:hint="eastAsia" w:ascii="宋体" w:hAnsi="宋体" w:eastAsia="宋体" w:cs="宋体"/>
          <w:b w:val="0"/>
          <w:bCs w:val="0"/>
          <w:color w:val="auto"/>
          <w:szCs w:val="24"/>
          <w:highlight w:val="none"/>
        </w:rPr>
        <w:t>，</w:t>
      </w:r>
      <w:r>
        <w:rPr>
          <w:rFonts w:hint="eastAsia" w:ascii="宋体" w:hAnsi="宋体" w:eastAsia="宋体" w:cs="宋体"/>
          <w:b w:val="0"/>
          <w:bCs w:val="0"/>
          <w:color w:val="auto"/>
          <w:szCs w:val="24"/>
          <w:highlight w:val="none"/>
          <w:lang w:val="en-US" w:eastAsia="zh-CN"/>
        </w:rPr>
        <w:t>鉴证方</w:t>
      </w:r>
      <w:r>
        <w:rPr>
          <w:rFonts w:hint="eastAsia" w:ascii="宋体" w:hAnsi="宋体" w:eastAsia="宋体" w:cs="宋体"/>
          <w:b w:val="0"/>
          <w:bCs w:val="0"/>
          <w:color w:val="auto"/>
          <w:szCs w:val="24"/>
          <w:highlight w:val="none"/>
          <w:u w:val="single"/>
          <w:lang w:val="en-US" w:eastAsia="zh-CN"/>
        </w:rPr>
        <w:t xml:space="preserve"> 壹 </w:t>
      </w:r>
      <w:r>
        <w:rPr>
          <w:rFonts w:hint="eastAsia" w:ascii="宋体" w:hAnsi="宋体" w:eastAsia="宋体" w:cs="宋体"/>
          <w:b w:val="0"/>
          <w:bCs w:val="0"/>
          <w:color w:val="auto"/>
          <w:szCs w:val="24"/>
          <w:highlight w:val="none"/>
          <w:lang w:val="en-US" w:eastAsia="zh-CN"/>
        </w:rPr>
        <w:t>份，</w:t>
      </w:r>
      <w:r>
        <w:rPr>
          <w:rFonts w:hint="eastAsia" w:ascii="宋体" w:hAnsi="宋体" w:eastAsia="宋体" w:cs="宋体"/>
          <w:b w:val="0"/>
          <w:bCs w:val="0"/>
          <w:color w:val="auto"/>
          <w:szCs w:val="24"/>
          <w:highlight w:val="none"/>
        </w:rPr>
        <w:t>具有同等法律效力。</w:t>
      </w:r>
    </w:p>
    <w:p w14:paraId="524CA2D7">
      <w:pPr>
        <w:wordWrap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4、本合同</w:t>
      </w:r>
      <w:r>
        <w:rPr>
          <w:rFonts w:hint="eastAsia" w:ascii="宋体" w:hAnsi="宋体" w:eastAsia="宋体" w:cs="宋体"/>
          <w:color w:val="auto"/>
          <w:sz w:val="24"/>
          <w:szCs w:val="24"/>
          <w:highlight w:val="none"/>
          <w:lang w:val="en-US" w:eastAsia="zh-CN"/>
        </w:rPr>
        <w:t>自各方共同签字盖章之日起生效</w:t>
      </w:r>
      <w:r>
        <w:rPr>
          <w:rFonts w:hint="eastAsia" w:ascii="宋体" w:hAnsi="宋体" w:eastAsia="宋体" w:cs="宋体"/>
          <w:color w:val="auto"/>
          <w:highlight w:val="none"/>
        </w:rPr>
        <w:t>。</w:t>
      </w:r>
    </w:p>
    <w:p w14:paraId="5C57FB0D">
      <w:pPr>
        <w:wordWrap w:val="0"/>
        <w:spacing w:line="480" w:lineRule="exact"/>
        <w:ind w:firstLine="482" w:firstLineChars="200"/>
        <w:rPr>
          <w:rFonts w:hint="eastAsia" w:ascii="宋体" w:hAnsi="宋体" w:eastAsia="宋体" w:cs="宋体"/>
          <w:color w:val="auto"/>
          <w:highlight w:val="none"/>
        </w:rPr>
      </w:pPr>
      <w:r>
        <w:rPr>
          <w:rFonts w:hint="eastAsia" w:ascii="宋体" w:hAnsi="宋体" w:eastAsia="宋体" w:cs="宋体"/>
          <w:b/>
          <w:bCs/>
          <w:color w:val="auto"/>
          <w:highlight w:val="none"/>
        </w:rPr>
        <w:t>（十</w:t>
      </w:r>
      <w:r>
        <w:rPr>
          <w:rFonts w:hint="eastAsia" w:ascii="宋体" w:hAnsi="宋体" w:eastAsia="宋体" w:cs="宋体"/>
          <w:b/>
          <w:bCs/>
          <w:color w:val="auto"/>
          <w:highlight w:val="none"/>
          <w:lang w:eastAsia="zh-CN"/>
        </w:rPr>
        <w:t>七</w:t>
      </w:r>
      <w:r>
        <w:rPr>
          <w:rFonts w:hint="eastAsia" w:ascii="宋体" w:hAnsi="宋体" w:eastAsia="宋体" w:cs="宋体"/>
          <w:b/>
          <w:bCs/>
          <w:color w:val="auto"/>
          <w:highlight w:val="none"/>
        </w:rPr>
        <w:t>）其他事项</w:t>
      </w:r>
    </w:p>
    <w:p w14:paraId="0F85781C">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1、双方承诺</w:t>
      </w:r>
    </w:p>
    <w:p w14:paraId="318241CE">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乙方向甲方承诺，按照本合同约定提供相关服务。</w:t>
      </w:r>
    </w:p>
    <w:p w14:paraId="5A869B9A">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甲方向乙方承诺，按照本合同约定支付服务款项。</w:t>
      </w:r>
    </w:p>
    <w:p w14:paraId="2BFEB4F8">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2、组成本合同的文件</w:t>
      </w:r>
    </w:p>
    <w:p w14:paraId="6B0B95A5">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（1）协议书；</w:t>
      </w:r>
    </w:p>
    <w:p w14:paraId="103D37A2">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cs="宋体"/>
          <w:color w:val="auto"/>
          <w:highlight w:val="none"/>
          <w:lang w:val="en-US" w:eastAsia="zh-CN"/>
        </w:rPr>
        <w:t>成交</w:t>
      </w:r>
      <w:r>
        <w:rPr>
          <w:rFonts w:hint="eastAsia" w:ascii="宋体" w:hAnsi="宋体" w:eastAsia="宋体" w:cs="宋体"/>
          <w:color w:val="auto"/>
          <w:highlight w:val="none"/>
        </w:rPr>
        <w:t>通知书、</w:t>
      </w:r>
      <w:r>
        <w:rPr>
          <w:rFonts w:hint="eastAsia" w:ascii="宋体" w:hAnsi="宋体" w:cs="宋体"/>
          <w:color w:val="auto"/>
          <w:highlight w:val="none"/>
          <w:lang w:val="en-US" w:eastAsia="zh-CN"/>
        </w:rPr>
        <w:t>响应</w:t>
      </w:r>
      <w:r>
        <w:rPr>
          <w:rFonts w:hint="eastAsia" w:ascii="宋体" w:hAnsi="宋体" w:eastAsia="宋体" w:cs="宋体"/>
          <w:color w:val="auto"/>
          <w:highlight w:val="none"/>
        </w:rPr>
        <w:t>文件、</w:t>
      </w:r>
      <w:r>
        <w:rPr>
          <w:rFonts w:hint="eastAsia" w:ascii="宋体" w:hAnsi="宋体" w:cs="宋体"/>
          <w:color w:val="auto"/>
          <w:highlight w:val="none"/>
          <w:lang w:val="en-US" w:eastAsia="zh-CN"/>
        </w:rPr>
        <w:t>采购</w:t>
      </w:r>
      <w:r>
        <w:rPr>
          <w:rFonts w:hint="eastAsia" w:ascii="宋体" w:hAnsi="宋体" w:eastAsia="宋体" w:cs="宋体"/>
          <w:color w:val="auto"/>
          <w:highlight w:val="none"/>
        </w:rPr>
        <w:t>文件、澄清、投标补充文件；</w:t>
      </w:r>
    </w:p>
    <w:p w14:paraId="30B63CE6">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（3）相关服务建议书；</w:t>
      </w:r>
    </w:p>
    <w:p w14:paraId="666F1D1D">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（4）附录，即：附表内相关服务的范围和内容；</w:t>
      </w:r>
    </w:p>
    <w:p w14:paraId="69855BD4">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本合同签订后，双方依法签订的补充协议也是本合同文件的组成部分。</w:t>
      </w:r>
    </w:p>
    <w:p w14:paraId="3C60903F">
      <w:pPr>
        <w:keepNext w:val="0"/>
        <w:keepLines w:val="0"/>
        <w:pageBreakBefore w:val="0"/>
        <w:numPr>
          <w:ilvl w:val="0"/>
          <w:numId w:val="0"/>
        </w:numPr>
        <w:kinsoku/>
        <w:wordWrap/>
        <w:overflowPunct/>
        <w:topLinePunct w:val="0"/>
        <w:autoSpaceDE/>
        <w:autoSpaceDN/>
        <w:bidi w:val="0"/>
        <w:spacing w:line="500" w:lineRule="exact"/>
        <w:ind w:leftChars="0"/>
        <w:jc w:val="both"/>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附件1：保密协议</w:t>
      </w:r>
    </w:p>
    <w:p w14:paraId="7D4A27D7">
      <w:pPr>
        <w:keepNext w:val="0"/>
        <w:keepLines w:val="0"/>
        <w:pageBreakBefore w:val="0"/>
        <w:numPr>
          <w:ilvl w:val="0"/>
          <w:numId w:val="0"/>
        </w:numPr>
        <w:kinsoku/>
        <w:wordWrap/>
        <w:overflowPunct/>
        <w:topLinePunct w:val="0"/>
        <w:autoSpaceDE/>
        <w:autoSpaceDN/>
        <w:bidi w:val="0"/>
        <w:spacing w:line="500" w:lineRule="exact"/>
        <w:ind w:leftChars="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40A8324D">
      <w:pPr>
        <w:keepNext w:val="0"/>
        <w:keepLines w:val="0"/>
        <w:pageBreakBefore w:val="0"/>
        <w:numPr>
          <w:ilvl w:val="0"/>
          <w:numId w:val="0"/>
        </w:numPr>
        <w:kinsoku/>
        <w:wordWrap/>
        <w:overflowPunct/>
        <w:topLinePunct w:val="0"/>
        <w:autoSpaceDE/>
        <w:autoSpaceDN/>
        <w:bidi w:val="0"/>
        <w:spacing w:line="500" w:lineRule="exact"/>
        <w:ind w:leftChars="0"/>
        <w:jc w:val="both"/>
        <w:textAlignment w:val="auto"/>
        <w:rPr>
          <w:rFonts w:hint="eastAsia" w:ascii="宋体" w:hAnsi="宋体" w:eastAsia="宋体" w:cs="宋体"/>
          <w:color w:val="auto"/>
          <w:sz w:val="24"/>
          <w:szCs w:val="24"/>
          <w:highlight w:val="none"/>
          <w:lang w:eastAsia="zh-CN"/>
        </w:rPr>
      </w:pPr>
    </w:p>
    <w:tbl>
      <w:tblPr>
        <w:tblStyle w:val="7"/>
        <w:tblW w:w="9159" w:type="dxa"/>
        <w:jc w:val="center"/>
        <w:tblLayout w:type="fixed"/>
        <w:tblCellMar>
          <w:top w:w="0" w:type="dxa"/>
          <w:left w:w="28" w:type="dxa"/>
          <w:bottom w:w="0" w:type="dxa"/>
          <w:right w:w="28" w:type="dxa"/>
        </w:tblCellMar>
      </w:tblPr>
      <w:tblGrid>
        <w:gridCol w:w="3191"/>
        <w:gridCol w:w="2984"/>
        <w:gridCol w:w="2984"/>
      </w:tblGrid>
      <w:tr w14:paraId="5D36D145">
        <w:tblPrEx>
          <w:tblCellMar>
            <w:top w:w="0" w:type="dxa"/>
            <w:left w:w="28" w:type="dxa"/>
            <w:bottom w:w="0" w:type="dxa"/>
            <w:right w:w="28" w:type="dxa"/>
          </w:tblCellMar>
        </w:tblPrEx>
        <w:trPr>
          <w:trHeight w:val="3992" w:hRule="atLeast"/>
          <w:jc w:val="center"/>
        </w:trPr>
        <w:tc>
          <w:tcPr>
            <w:tcW w:w="3191" w:type="dxa"/>
            <w:noWrap w:val="0"/>
            <w:vAlign w:val="top"/>
          </w:tcPr>
          <w:p w14:paraId="649423B9">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lang w:eastAsia="zh-CN"/>
              </w:rPr>
              <w:t>甲</w:t>
            </w:r>
            <w:r>
              <w:rPr>
                <w:rFonts w:hint="eastAsia" w:ascii="宋体" w:hAnsi="宋体" w:eastAsia="宋体" w:cs="宋体"/>
                <w:color w:val="auto"/>
                <w:sz w:val="24"/>
                <w:highlight w:val="none"/>
                <w:u w:val="none"/>
              </w:rPr>
              <w:t>方</w:t>
            </w:r>
            <w:r>
              <w:rPr>
                <w:rFonts w:hint="eastAsia" w:ascii="宋体" w:hAnsi="宋体" w:eastAsia="宋体" w:cs="宋体"/>
                <w:color w:val="auto"/>
                <w:sz w:val="24"/>
                <w:highlight w:val="none"/>
                <w:u w:val="none"/>
                <w:lang w:eastAsia="zh-CN"/>
              </w:rPr>
              <w:t>（盖章）</w:t>
            </w:r>
            <w:r>
              <w:rPr>
                <w:rFonts w:hint="eastAsia" w:ascii="宋体" w:hAnsi="宋体" w:eastAsia="宋体" w:cs="宋体"/>
                <w:color w:val="auto"/>
                <w:sz w:val="24"/>
                <w:highlight w:val="none"/>
                <w:u w:val="none"/>
              </w:rPr>
              <w:t>：</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highlight w:val="none"/>
                <w:u w:val="none"/>
              </w:rPr>
              <w:t xml:space="preserve">  </w:t>
            </w:r>
          </w:p>
          <w:p w14:paraId="4823D900">
            <w:pPr>
              <w:keepNext w:val="0"/>
              <w:keepLines w:val="0"/>
              <w:pageBreakBefore w:val="0"/>
              <w:widowControl w:val="0"/>
              <w:tabs>
                <w:tab w:val="left" w:pos="19"/>
              </w:tabs>
              <w:kinsoku/>
              <w:wordWrap/>
              <w:overflowPunct/>
              <w:topLinePunct w:val="0"/>
              <w:autoSpaceDE/>
              <w:autoSpaceDN/>
              <w:bidi w:val="0"/>
              <w:spacing w:line="440" w:lineRule="exact"/>
              <w:ind w:left="1198" w:leftChars="-1" w:hanging="1200" w:hangingChars="500"/>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rPr>
              <w:t>地址：</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p>
          <w:p w14:paraId="14DA8682">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szCs w:val="24"/>
                <w:highlight w:val="none"/>
                <w:u w:val="none"/>
              </w:rPr>
              <w:t>法定代表人或其授权</w:t>
            </w:r>
            <w:r>
              <w:rPr>
                <w:rFonts w:hint="eastAsia" w:ascii="宋体" w:hAnsi="宋体" w:eastAsia="宋体" w:cs="宋体"/>
                <w:color w:val="auto"/>
                <w:sz w:val="24"/>
                <w:highlight w:val="none"/>
                <w:u w:val="none"/>
                <w:lang w:val="en-US" w:eastAsia="zh-CN"/>
              </w:rPr>
              <w:t>代表</w:t>
            </w:r>
          </w:p>
          <w:p w14:paraId="43034E8A">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lang w:val="en-US" w:eastAsia="zh-CN"/>
              </w:rPr>
              <w:t>（签字或盖章）：</w:t>
            </w:r>
            <w:r>
              <w:rPr>
                <w:rFonts w:hint="eastAsia" w:ascii="宋体" w:hAnsi="宋体" w:eastAsia="宋体" w:cs="宋体"/>
                <w:color w:val="auto"/>
                <w:sz w:val="24"/>
                <w:szCs w:val="24"/>
                <w:highlight w:val="none"/>
                <w:u w:val="none"/>
              </w:rPr>
              <w:t xml:space="preserve">                       </w:t>
            </w:r>
          </w:p>
          <w:p w14:paraId="72D87BEF">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开户行：</w:t>
            </w:r>
            <w:r>
              <w:rPr>
                <w:rFonts w:hint="eastAsia" w:ascii="宋体" w:hAnsi="宋体" w:eastAsia="宋体" w:cs="宋体"/>
                <w:color w:val="auto"/>
                <w:sz w:val="24"/>
                <w:szCs w:val="24"/>
                <w:highlight w:val="none"/>
                <w:u w:val="none"/>
              </w:rPr>
              <w:t xml:space="preserve">                       </w:t>
            </w:r>
          </w:p>
          <w:p w14:paraId="248F1C38">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账号：</w:t>
            </w:r>
            <w:r>
              <w:rPr>
                <w:rFonts w:hint="eastAsia" w:ascii="宋体" w:hAnsi="宋体" w:eastAsia="宋体" w:cs="宋体"/>
                <w:color w:val="auto"/>
                <w:sz w:val="24"/>
                <w:szCs w:val="24"/>
                <w:highlight w:val="none"/>
                <w:u w:val="none"/>
              </w:rPr>
              <w:t xml:space="preserve">                       </w:t>
            </w:r>
          </w:p>
          <w:p w14:paraId="261962B8">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电话：</w:t>
            </w:r>
            <w:r>
              <w:rPr>
                <w:rFonts w:hint="eastAsia" w:ascii="宋体" w:hAnsi="宋体" w:eastAsia="宋体" w:cs="宋体"/>
                <w:color w:val="auto"/>
                <w:sz w:val="24"/>
                <w:szCs w:val="24"/>
                <w:highlight w:val="none"/>
                <w:u w:val="none"/>
              </w:rPr>
              <w:t xml:space="preserve">                       </w:t>
            </w:r>
          </w:p>
          <w:p w14:paraId="4127553C">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传真：</w:t>
            </w:r>
            <w:r>
              <w:rPr>
                <w:rFonts w:hint="eastAsia" w:ascii="宋体" w:hAnsi="宋体" w:eastAsia="宋体" w:cs="宋体"/>
                <w:color w:val="auto"/>
                <w:sz w:val="24"/>
                <w:szCs w:val="24"/>
                <w:highlight w:val="none"/>
                <w:u w:val="none"/>
              </w:rPr>
              <w:t xml:space="preserve">                       </w:t>
            </w:r>
          </w:p>
          <w:p w14:paraId="7C866D60">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电子邮箱：</w:t>
            </w:r>
            <w:r>
              <w:rPr>
                <w:rFonts w:hint="eastAsia" w:ascii="宋体" w:hAnsi="宋体" w:eastAsia="宋体" w:cs="宋体"/>
                <w:color w:val="auto"/>
                <w:sz w:val="24"/>
                <w:szCs w:val="24"/>
                <w:highlight w:val="none"/>
                <w:u w:val="none"/>
              </w:rPr>
              <w:t xml:space="preserve">                       </w:t>
            </w:r>
          </w:p>
          <w:p w14:paraId="56547984">
            <w:pPr>
              <w:tabs>
                <w:tab w:val="left" w:pos="0"/>
              </w:tabs>
              <w:spacing w:line="360" w:lineRule="auto"/>
              <w:ind w:left="-6" w:hanging="23"/>
              <w:rPr>
                <w:rFonts w:hint="eastAsia" w:ascii="宋体" w:hAnsi="宋体" w:eastAsia="宋体" w:cs="宋体"/>
                <w:color w:val="auto"/>
                <w:sz w:val="24"/>
                <w:highlight w:val="none"/>
                <w:u w:val="none"/>
              </w:rPr>
            </w:pPr>
          </w:p>
        </w:tc>
        <w:tc>
          <w:tcPr>
            <w:tcW w:w="2984" w:type="dxa"/>
            <w:noWrap w:val="0"/>
            <w:vAlign w:val="top"/>
          </w:tcPr>
          <w:p w14:paraId="7CB9BB3E">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rPr>
              <w:t>乙方</w:t>
            </w:r>
            <w:r>
              <w:rPr>
                <w:rFonts w:hint="eastAsia" w:ascii="宋体" w:hAnsi="宋体" w:eastAsia="宋体" w:cs="宋体"/>
                <w:color w:val="auto"/>
                <w:sz w:val="24"/>
                <w:highlight w:val="none"/>
                <w:u w:val="none"/>
                <w:lang w:eastAsia="zh-CN"/>
              </w:rPr>
              <w:t>（盖章）</w:t>
            </w:r>
            <w:r>
              <w:rPr>
                <w:rFonts w:hint="eastAsia" w:ascii="宋体" w:hAnsi="宋体" w:eastAsia="宋体" w:cs="宋体"/>
                <w:color w:val="auto"/>
                <w:sz w:val="24"/>
                <w:highlight w:val="none"/>
                <w:u w:val="none"/>
              </w:rPr>
              <w:t>：</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highlight w:val="none"/>
                <w:u w:val="none"/>
              </w:rPr>
              <w:t xml:space="preserve">  </w:t>
            </w:r>
          </w:p>
          <w:p w14:paraId="6CC0F7A3">
            <w:pPr>
              <w:keepNext w:val="0"/>
              <w:keepLines w:val="0"/>
              <w:pageBreakBefore w:val="0"/>
              <w:widowControl w:val="0"/>
              <w:tabs>
                <w:tab w:val="left" w:pos="19"/>
              </w:tabs>
              <w:kinsoku/>
              <w:wordWrap/>
              <w:overflowPunct/>
              <w:topLinePunct w:val="0"/>
              <w:autoSpaceDE/>
              <w:autoSpaceDN/>
              <w:bidi w:val="0"/>
              <w:spacing w:line="440" w:lineRule="exact"/>
              <w:ind w:left="1198" w:leftChars="-1" w:hanging="1200" w:hangingChars="500"/>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rPr>
              <w:t>地址：</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p>
          <w:p w14:paraId="28BA5562">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szCs w:val="24"/>
                <w:highlight w:val="none"/>
                <w:u w:val="none"/>
              </w:rPr>
              <w:t>法定代表人或其授权</w:t>
            </w:r>
            <w:r>
              <w:rPr>
                <w:rFonts w:hint="eastAsia" w:ascii="宋体" w:hAnsi="宋体" w:eastAsia="宋体" w:cs="宋体"/>
                <w:color w:val="auto"/>
                <w:sz w:val="24"/>
                <w:highlight w:val="none"/>
                <w:u w:val="none"/>
                <w:lang w:val="en-US" w:eastAsia="zh-CN"/>
              </w:rPr>
              <w:t>代表</w:t>
            </w:r>
          </w:p>
          <w:p w14:paraId="5BEDA055">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lang w:val="en-US" w:eastAsia="zh-CN"/>
              </w:rPr>
              <w:t>（签字或盖章）：</w:t>
            </w:r>
            <w:r>
              <w:rPr>
                <w:rFonts w:hint="eastAsia" w:ascii="宋体" w:hAnsi="宋体" w:eastAsia="宋体" w:cs="宋体"/>
                <w:color w:val="auto"/>
                <w:sz w:val="24"/>
                <w:szCs w:val="24"/>
                <w:highlight w:val="none"/>
                <w:u w:val="none"/>
              </w:rPr>
              <w:t xml:space="preserve">                       </w:t>
            </w:r>
          </w:p>
          <w:p w14:paraId="510F0A08">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开户行：</w:t>
            </w:r>
            <w:r>
              <w:rPr>
                <w:rFonts w:hint="eastAsia" w:ascii="宋体" w:hAnsi="宋体" w:eastAsia="宋体" w:cs="宋体"/>
                <w:color w:val="auto"/>
                <w:sz w:val="24"/>
                <w:szCs w:val="24"/>
                <w:highlight w:val="none"/>
                <w:u w:val="none"/>
              </w:rPr>
              <w:t xml:space="preserve">                       </w:t>
            </w:r>
          </w:p>
          <w:p w14:paraId="1ECB07EC">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账号：</w:t>
            </w:r>
            <w:r>
              <w:rPr>
                <w:rFonts w:hint="eastAsia" w:ascii="宋体" w:hAnsi="宋体" w:eastAsia="宋体" w:cs="宋体"/>
                <w:color w:val="auto"/>
                <w:sz w:val="24"/>
                <w:szCs w:val="24"/>
                <w:highlight w:val="none"/>
                <w:u w:val="none"/>
              </w:rPr>
              <w:t xml:space="preserve">                       </w:t>
            </w:r>
          </w:p>
          <w:p w14:paraId="79A7D15D">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电话：</w:t>
            </w:r>
            <w:r>
              <w:rPr>
                <w:rFonts w:hint="eastAsia" w:ascii="宋体" w:hAnsi="宋体" w:eastAsia="宋体" w:cs="宋体"/>
                <w:color w:val="auto"/>
                <w:sz w:val="24"/>
                <w:szCs w:val="24"/>
                <w:highlight w:val="none"/>
                <w:u w:val="none"/>
              </w:rPr>
              <w:t xml:space="preserve">                       </w:t>
            </w:r>
          </w:p>
          <w:p w14:paraId="391E8158">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传真：</w:t>
            </w:r>
            <w:r>
              <w:rPr>
                <w:rFonts w:hint="eastAsia" w:ascii="宋体" w:hAnsi="宋体" w:eastAsia="宋体" w:cs="宋体"/>
                <w:color w:val="auto"/>
                <w:sz w:val="24"/>
                <w:szCs w:val="24"/>
                <w:highlight w:val="none"/>
                <w:u w:val="none"/>
              </w:rPr>
              <w:t xml:space="preserve">                       </w:t>
            </w:r>
          </w:p>
          <w:p w14:paraId="2D5E0DE9">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电子邮箱：</w:t>
            </w:r>
            <w:r>
              <w:rPr>
                <w:rFonts w:hint="eastAsia" w:ascii="宋体" w:hAnsi="宋体" w:eastAsia="宋体" w:cs="宋体"/>
                <w:color w:val="auto"/>
                <w:sz w:val="24"/>
                <w:szCs w:val="24"/>
                <w:highlight w:val="none"/>
                <w:u w:val="none"/>
              </w:rPr>
              <w:t xml:space="preserve">                       </w:t>
            </w:r>
          </w:p>
          <w:p w14:paraId="5F24C3B7">
            <w:pPr>
              <w:tabs>
                <w:tab w:val="left" w:pos="19"/>
              </w:tabs>
              <w:spacing w:line="360" w:lineRule="auto"/>
              <w:ind w:left="-5" w:firstLine="2"/>
              <w:rPr>
                <w:rFonts w:hint="eastAsia" w:ascii="宋体" w:hAnsi="宋体" w:eastAsia="宋体" w:cs="宋体"/>
                <w:color w:val="auto"/>
                <w:sz w:val="24"/>
                <w:highlight w:val="none"/>
                <w:u w:val="none"/>
              </w:rPr>
            </w:pPr>
          </w:p>
        </w:tc>
        <w:tc>
          <w:tcPr>
            <w:tcW w:w="2984" w:type="dxa"/>
            <w:noWrap w:val="0"/>
            <w:vAlign w:val="top"/>
          </w:tcPr>
          <w:p w14:paraId="6D004CCF">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lang w:val="en-US" w:eastAsia="zh-CN"/>
              </w:rPr>
              <w:t>鉴证方</w:t>
            </w:r>
            <w:r>
              <w:rPr>
                <w:rFonts w:hint="eastAsia" w:ascii="宋体" w:hAnsi="宋体" w:eastAsia="宋体" w:cs="宋体"/>
                <w:color w:val="auto"/>
                <w:sz w:val="24"/>
                <w:highlight w:val="none"/>
                <w:u w:val="none"/>
                <w:lang w:eastAsia="zh-CN"/>
              </w:rPr>
              <w:t>（盖章）</w:t>
            </w:r>
            <w:r>
              <w:rPr>
                <w:rFonts w:hint="eastAsia" w:ascii="宋体" w:hAnsi="宋体" w:eastAsia="宋体" w:cs="宋体"/>
                <w:color w:val="auto"/>
                <w:sz w:val="24"/>
                <w:highlight w:val="none"/>
                <w:u w:val="none"/>
              </w:rPr>
              <w:t>：</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highlight w:val="none"/>
                <w:u w:val="none"/>
              </w:rPr>
              <w:t xml:space="preserve">  </w:t>
            </w:r>
          </w:p>
          <w:p w14:paraId="069D16A3">
            <w:pPr>
              <w:keepNext w:val="0"/>
              <w:keepLines w:val="0"/>
              <w:pageBreakBefore w:val="0"/>
              <w:widowControl w:val="0"/>
              <w:tabs>
                <w:tab w:val="left" w:pos="19"/>
              </w:tabs>
              <w:kinsoku/>
              <w:wordWrap/>
              <w:overflowPunct/>
              <w:topLinePunct w:val="0"/>
              <w:autoSpaceDE/>
              <w:autoSpaceDN/>
              <w:bidi w:val="0"/>
              <w:spacing w:line="440" w:lineRule="exact"/>
              <w:ind w:left="1198" w:leftChars="-1" w:hanging="1200" w:hangingChars="500"/>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rPr>
              <w:t>地址：</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p>
          <w:p w14:paraId="0FA1C38E">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szCs w:val="24"/>
                <w:highlight w:val="none"/>
                <w:u w:val="none"/>
              </w:rPr>
              <w:t>法定代表人或其授权</w:t>
            </w:r>
            <w:r>
              <w:rPr>
                <w:rFonts w:hint="eastAsia" w:ascii="宋体" w:hAnsi="宋体" w:eastAsia="宋体" w:cs="宋体"/>
                <w:color w:val="auto"/>
                <w:sz w:val="24"/>
                <w:highlight w:val="none"/>
                <w:u w:val="none"/>
                <w:lang w:val="en-US" w:eastAsia="zh-CN"/>
              </w:rPr>
              <w:t>代表</w:t>
            </w:r>
          </w:p>
          <w:p w14:paraId="26E4E266">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u w:val="none"/>
                <w:lang w:val="en-US" w:eastAsia="zh-CN"/>
              </w:rPr>
              <w:t>（签字或盖章）：</w:t>
            </w:r>
            <w:r>
              <w:rPr>
                <w:rFonts w:hint="eastAsia" w:ascii="宋体" w:hAnsi="宋体" w:eastAsia="宋体" w:cs="宋体"/>
                <w:color w:val="auto"/>
                <w:sz w:val="24"/>
                <w:szCs w:val="24"/>
                <w:highlight w:val="none"/>
                <w:u w:val="none"/>
              </w:rPr>
              <w:t xml:space="preserve">                       </w:t>
            </w:r>
          </w:p>
          <w:p w14:paraId="04615188">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开户行：</w:t>
            </w:r>
            <w:r>
              <w:rPr>
                <w:rFonts w:hint="eastAsia" w:ascii="宋体" w:hAnsi="宋体" w:eastAsia="宋体" w:cs="宋体"/>
                <w:color w:val="auto"/>
                <w:sz w:val="24"/>
                <w:szCs w:val="24"/>
                <w:highlight w:val="none"/>
                <w:u w:val="none"/>
              </w:rPr>
              <w:t xml:space="preserve">                       </w:t>
            </w:r>
          </w:p>
          <w:p w14:paraId="1C8F7EDD">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账号：</w:t>
            </w:r>
            <w:r>
              <w:rPr>
                <w:rFonts w:hint="eastAsia" w:ascii="宋体" w:hAnsi="宋体" w:eastAsia="宋体" w:cs="宋体"/>
                <w:color w:val="auto"/>
                <w:sz w:val="24"/>
                <w:szCs w:val="24"/>
                <w:highlight w:val="none"/>
                <w:u w:val="none"/>
              </w:rPr>
              <w:t xml:space="preserve">                       </w:t>
            </w:r>
          </w:p>
          <w:p w14:paraId="42F8DFB1">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电话：</w:t>
            </w:r>
            <w:r>
              <w:rPr>
                <w:rFonts w:hint="eastAsia" w:ascii="宋体" w:hAnsi="宋体" w:eastAsia="宋体" w:cs="宋体"/>
                <w:color w:val="auto"/>
                <w:sz w:val="24"/>
                <w:szCs w:val="24"/>
                <w:highlight w:val="none"/>
                <w:u w:val="none"/>
              </w:rPr>
              <w:t xml:space="preserve">                       </w:t>
            </w:r>
          </w:p>
          <w:p w14:paraId="2B525AAC">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传真：</w:t>
            </w:r>
            <w:r>
              <w:rPr>
                <w:rFonts w:hint="eastAsia" w:ascii="宋体" w:hAnsi="宋体" w:eastAsia="宋体" w:cs="宋体"/>
                <w:color w:val="auto"/>
                <w:sz w:val="24"/>
                <w:szCs w:val="24"/>
                <w:highlight w:val="none"/>
                <w:u w:val="none"/>
              </w:rPr>
              <w:t xml:space="preserve">                       </w:t>
            </w:r>
          </w:p>
          <w:p w14:paraId="6E76EC15">
            <w:pPr>
              <w:keepNext w:val="0"/>
              <w:keepLines w:val="0"/>
              <w:pageBreakBefore w:val="0"/>
              <w:widowControl w:val="0"/>
              <w:tabs>
                <w:tab w:val="left" w:pos="19"/>
              </w:tabs>
              <w:kinsoku/>
              <w:wordWrap/>
              <w:overflowPunct/>
              <w:topLinePunct w:val="0"/>
              <w:autoSpaceDE/>
              <w:autoSpaceDN/>
              <w:bidi w:val="0"/>
              <w:spacing w:line="440" w:lineRule="exact"/>
              <w:ind w:left="-5" w:firstLine="2"/>
              <w:textAlignment w:val="auto"/>
              <w:rPr>
                <w:rFonts w:hint="eastAsia" w:ascii="宋体" w:hAnsi="宋体" w:eastAsia="宋体" w:cs="宋体"/>
                <w:color w:val="auto"/>
                <w:sz w:val="24"/>
                <w:highlight w:val="none"/>
                <w:u w:val="none"/>
                <w:lang w:eastAsia="zh-CN"/>
              </w:rPr>
            </w:pPr>
            <w:r>
              <w:rPr>
                <w:rFonts w:hint="eastAsia" w:ascii="宋体" w:hAnsi="宋体" w:eastAsia="宋体" w:cs="宋体"/>
                <w:color w:val="auto"/>
                <w:sz w:val="24"/>
                <w:highlight w:val="none"/>
                <w:u w:val="none"/>
                <w:lang w:eastAsia="zh-CN"/>
              </w:rPr>
              <w:t>电子邮箱：</w:t>
            </w:r>
            <w:r>
              <w:rPr>
                <w:rFonts w:hint="eastAsia" w:ascii="宋体" w:hAnsi="宋体" w:eastAsia="宋体" w:cs="宋体"/>
                <w:color w:val="auto"/>
                <w:sz w:val="24"/>
                <w:szCs w:val="24"/>
                <w:highlight w:val="none"/>
                <w:u w:val="none"/>
              </w:rPr>
              <w:t xml:space="preserve">                       </w:t>
            </w:r>
          </w:p>
          <w:p w14:paraId="0E174417">
            <w:pPr>
              <w:tabs>
                <w:tab w:val="left" w:pos="19"/>
              </w:tabs>
              <w:spacing w:line="360" w:lineRule="auto"/>
              <w:ind w:left="-5" w:leftChars="0" w:firstLine="2" w:firstLineChars="0"/>
              <w:rPr>
                <w:rFonts w:hint="eastAsia" w:ascii="宋体" w:hAnsi="宋体" w:eastAsia="宋体" w:cs="宋体"/>
                <w:color w:val="auto"/>
                <w:kern w:val="2"/>
                <w:sz w:val="24"/>
                <w:highlight w:val="none"/>
                <w:u w:val="none"/>
                <w:lang w:val="en-US" w:eastAsia="zh-CN" w:bidi="ar-SA"/>
              </w:rPr>
            </w:pPr>
          </w:p>
        </w:tc>
      </w:tr>
      <w:tr w14:paraId="5E956887">
        <w:tblPrEx>
          <w:tblCellMar>
            <w:top w:w="0" w:type="dxa"/>
            <w:left w:w="28" w:type="dxa"/>
            <w:bottom w:w="0" w:type="dxa"/>
            <w:right w:w="28" w:type="dxa"/>
          </w:tblCellMar>
        </w:tblPrEx>
        <w:trPr>
          <w:trHeight w:val="421" w:hRule="atLeast"/>
          <w:jc w:val="center"/>
        </w:trPr>
        <w:tc>
          <w:tcPr>
            <w:tcW w:w="3191" w:type="dxa"/>
            <w:noWrap w:val="0"/>
            <w:vAlign w:val="top"/>
          </w:tcPr>
          <w:p w14:paraId="515603F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签订时间：</w:t>
            </w:r>
          </w:p>
        </w:tc>
        <w:tc>
          <w:tcPr>
            <w:tcW w:w="2984" w:type="dxa"/>
            <w:noWrap w:val="0"/>
            <w:vAlign w:val="top"/>
          </w:tcPr>
          <w:p w14:paraId="2F1640EA">
            <w:pPr>
              <w:tabs>
                <w:tab w:val="left" w:pos="19"/>
              </w:tabs>
              <w:spacing w:line="360" w:lineRule="auto"/>
              <w:ind w:left="-5" w:firstLine="2"/>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签订时间：</w:t>
            </w:r>
          </w:p>
        </w:tc>
        <w:tc>
          <w:tcPr>
            <w:tcW w:w="2984" w:type="dxa"/>
            <w:noWrap w:val="0"/>
            <w:vAlign w:val="top"/>
          </w:tcPr>
          <w:p w14:paraId="0FBBC80F">
            <w:pPr>
              <w:tabs>
                <w:tab w:val="left" w:pos="19"/>
              </w:tabs>
              <w:spacing w:line="360" w:lineRule="auto"/>
              <w:ind w:left="-5" w:leftChars="0" w:firstLine="2" w:firstLineChars="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sz w:val="24"/>
                <w:highlight w:val="none"/>
              </w:rPr>
              <w:t>签订时间：</w:t>
            </w:r>
          </w:p>
        </w:tc>
      </w:tr>
    </w:tbl>
    <w:p w14:paraId="30EA7613">
      <w:r>
        <w:br w:type="page"/>
      </w:r>
    </w:p>
    <w:p w14:paraId="298A397F">
      <w:pPr>
        <w:pStyle w:val="2"/>
        <w:jc w:val="left"/>
        <w:rPr>
          <w:rFonts w:hint="eastAsia" w:ascii="宋体" w:hAnsi="宋体" w:cs="宋体"/>
          <w:sz w:val="28"/>
          <w:szCs w:val="28"/>
          <w:lang w:val="en-US" w:eastAsia="zh-CN"/>
        </w:rPr>
      </w:pPr>
      <w:r>
        <w:rPr>
          <w:rFonts w:hint="eastAsia" w:ascii="宋体" w:hAnsi="宋体" w:cs="宋体"/>
          <w:sz w:val="24"/>
          <w:szCs w:val="24"/>
          <w:lang w:val="en-US" w:eastAsia="zh-CN"/>
        </w:rPr>
        <w:t>附件1：</w:t>
      </w:r>
    </w:p>
    <w:p w14:paraId="0541992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ascii="宋体" w:hAnsi="宋体" w:cs="宋体"/>
          <w:b/>
          <w:bCs/>
          <w:sz w:val="40"/>
          <w:szCs w:val="40"/>
        </w:rPr>
      </w:pPr>
      <w:r>
        <w:rPr>
          <w:rFonts w:hint="eastAsia" w:ascii="宋体" w:hAnsi="宋体" w:cs="宋体"/>
          <w:b/>
          <w:bCs/>
          <w:sz w:val="40"/>
          <w:szCs w:val="40"/>
        </w:rPr>
        <w:t>保密协议</w:t>
      </w:r>
    </w:p>
    <w:p w14:paraId="7CFE696A">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 xml:space="preserve">甲方： 西安市应急管理局 </w:t>
      </w:r>
    </w:p>
    <w:p w14:paraId="659A2920">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统一社会信用代码：</w:t>
      </w:r>
    </w:p>
    <w:p w14:paraId="28CFFFBC">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住所地：</w:t>
      </w:r>
    </w:p>
    <w:p w14:paraId="2E551A48">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法定代表人：张兴华</w:t>
      </w:r>
    </w:p>
    <w:p w14:paraId="27E0627B">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 xml:space="preserve">联系电话： </w:t>
      </w:r>
    </w:p>
    <w:p w14:paraId="7E8698C2">
      <w:pPr>
        <w:adjustRightInd w:val="0"/>
        <w:snapToGrid w:val="0"/>
        <w:spacing w:line="460" w:lineRule="exact"/>
        <w:ind w:firstLine="480" w:firstLineChars="200"/>
        <w:rPr>
          <w:rFonts w:ascii="宋体" w:hAnsi="宋体" w:eastAsia="宋体" w:cs="宋体"/>
          <w:szCs w:val="24"/>
        </w:rPr>
      </w:pPr>
    </w:p>
    <w:p w14:paraId="3785BDF2">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乙方：</w:t>
      </w:r>
    </w:p>
    <w:p w14:paraId="7E3C8DA9">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统一社会信用代码：</w:t>
      </w:r>
    </w:p>
    <w:p w14:paraId="7E794407">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住所地：</w:t>
      </w:r>
    </w:p>
    <w:p w14:paraId="09C86C2E">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法定代表人：</w:t>
      </w:r>
    </w:p>
    <w:p w14:paraId="634B83FB">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 xml:space="preserve">联系电话： </w:t>
      </w:r>
    </w:p>
    <w:p w14:paraId="70BD68EB">
      <w:pPr>
        <w:adjustRightInd w:val="0"/>
        <w:snapToGrid w:val="0"/>
        <w:spacing w:line="460" w:lineRule="exact"/>
        <w:ind w:firstLine="480" w:firstLineChars="200"/>
        <w:rPr>
          <w:rFonts w:ascii="宋体" w:hAnsi="宋体" w:eastAsia="宋体" w:cs="宋体"/>
          <w:szCs w:val="24"/>
        </w:rPr>
      </w:pPr>
    </w:p>
    <w:p w14:paraId="606A5968">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依据《中华人民共和国民法典》《中华人民共和国保守国家秘密法》（以下简称“保密法”）规定，遵循“平等、自愿、公平和诚实信用”的原则，经双方友好协商，就</w:t>
      </w:r>
      <w:r>
        <w:rPr>
          <w:rFonts w:hint="eastAsia" w:ascii="宋体" w:hAnsi="宋体" w:eastAsia="宋体" w:cs="宋体"/>
          <w:szCs w:val="24"/>
          <w:lang w:eastAsia="zh-CN"/>
        </w:rPr>
        <w:t>西安智慧应急平台密码测评项目</w:t>
      </w:r>
      <w:r>
        <w:rPr>
          <w:rFonts w:hint="eastAsia" w:ascii="宋体" w:hAnsi="宋体" w:eastAsia="宋体" w:cs="宋体"/>
          <w:szCs w:val="24"/>
        </w:rPr>
        <w:t>（以下简称“项目”）保密事宜达成以下协议：</w:t>
      </w:r>
    </w:p>
    <w:p w14:paraId="5C235A21">
      <w:pPr>
        <w:adjustRightInd w:val="0"/>
        <w:snapToGrid w:val="0"/>
        <w:spacing w:line="460" w:lineRule="exact"/>
        <w:ind w:firstLine="482" w:firstLineChars="200"/>
        <w:rPr>
          <w:rFonts w:ascii="宋体" w:hAnsi="宋体" w:eastAsia="宋体" w:cs="宋体"/>
          <w:b/>
          <w:szCs w:val="24"/>
        </w:rPr>
      </w:pPr>
      <w:r>
        <w:rPr>
          <w:rFonts w:hint="eastAsia" w:ascii="宋体" w:hAnsi="宋体" w:eastAsia="宋体" w:cs="宋体"/>
          <w:b/>
          <w:szCs w:val="24"/>
        </w:rPr>
        <w:t>一、保密信息的定义</w:t>
      </w:r>
    </w:p>
    <w:p w14:paraId="1C459A7B">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1、本协议所称“保密信息”是指一方当事人（“披露方”）</w:t>
      </w:r>
      <w:bookmarkStart w:id="5" w:name="_Hlk76480947"/>
      <w:r>
        <w:rPr>
          <w:rFonts w:hint="eastAsia" w:ascii="宋体" w:hAnsi="宋体" w:eastAsia="宋体" w:cs="宋体"/>
          <w:szCs w:val="24"/>
        </w:rPr>
        <w:t>以数据、文字、</w:t>
      </w:r>
    </w:p>
    <w:p w14:paraId="098E0A6F">
      <w:pPr>
        <w:adjustRightInd w:val="0"/>
        <w:snapToGrid w:val="0"/>
        <w:spacing w:line="460" w:lineRule="exact"/>
        <w:rPr>
          <w:rFonts w:ascii="宋体" w:hAnsi="宋体" w:eastAsia="宋体" w:cs="宋体"/>
          <w:szCs w:val="24"/>
        </w:rPr>
      </w:pPr>
      <w:r>
        <w:rPr>
          <w:rFonts w:hint="eastAsia" w:ascii="宋体" w:hAnsi="宋体" w:eastAsia="宋体" w:cs="宋体"/>
          <w:szCs w:val="24"/>
        </w:rPr>
        <w:t>图片、音视频以及记载上述内容的文件资料、光盘、软件等有形媒介形式向</w:t>
      </w:r>
      <w:bookmarkEnd w:id="5"/>
      <w:r>
        <w:rPr>
          <w:rFonts w:hint="eastAsia" w:ascii="宋体" w:hAnsi="宋体" w:eastAsia="宋体" w:cs="宋体"/>
          <w:szCs w:val="24"/>
        </w:rPr>
        <w:t>另一</w:t>
      </w:r>
    </w:p>
    <w:p w14:paraId="16239ED4">
      <w:pPr>
        <w:adjustRightInd w:val="0"/>
        <w:snapToGrid w:val="0"/>
        <w:spacing w:line="460" w:lineRule="exact"/>
        <w:rPr>
          <w:rFonts w:ascii="宋体" w:hAnsi="宋体" w:eastAsia="宋体" w:cs="宋体"/>
          <w:szCs w:val="24"/>
        </w:rPr>
      </w:pPr>
      <w:r>
        <w:rPr>
          <w:rFonts w:hint="eastAsia" w:ascii="宋体" w:hAnsi="宋体" w:eastAsia="宋体" w:cs="宋体"/>
          <w:szCs w:val="24"/>
        </w:rPr>
        <w:t>方当事人（“接受方”）披露，并在披露时标注“保密”、“秘密”、“专有”字样的所有信息。</w:t>
      </w:r>
    </w:p>
    <w:p w14:paraId="3A53E0CB">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2、“保密信息”不包括下列信息：</w:t>
      </w:r>
    </w:p>
    <w:p w14:paraId="1347897C">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（1）在本协议生效日之前或之后成为公众所知（非因接受方的过错）或能</w:t>
      </w:r>
    </w:p>
    <w:p w14:paraId="161DEF55">
      <w:pPr>
        <w:adjustRightInd w:val="0"/>
        <w:snapToGrid w:val="0"/>
        <w:spacing w:line="460" w:lineRule="exact"/>
        <w:rPr>
          <w:rFonts w:ascii="宋体" w:hAnsi="宋体" w:eastAsia="宋体" w:cs="宋体"/>
          <w:szCs w:val="24"/>
        </w:rPr>
      </w:pPr>
      <w:r>
        <w:rPr>
          <w:rFonts w:hint="eastAsia" w:ascii="宋体" w:hAnsi="宋体" w:eastAsia="宋体" w:cs="宋体"/>
          <w:szCs w:val="24"/>
        </w:rPr>
        <w:t>从公共领域获取的信息；</w:t>
      </w:r>
    </w:p>
    <w:p w14:paraId="4D960E23">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（2）接受方或其关联方没有使用保密信息而独立开发的信息；</w:t>
      </w:r>
    </w:p>
    <w:p w14:paraId="5C05CA5C">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（3）接受方从第四方合法获取的不受保密义务限制的信息；</w:t>
      </w:r>
    </w:p>
    <w:p w14:paraId="1B802D38">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（4）在依本协议披露之时，该信息已以合法方式属接受方所有或由接受方知悉的；</w:t>
      </w:r>
    </w:p>
    <w:p w14:paraId="2DD7C9B8">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（5）经披露方书面同意披露或许可使用的信息。</w:t>
      </w:r>
    </w:p>
    <w:p w14:paraId="7DA0E655">
      <w:pPr>
        <w:adjustRightInd w:val="0"/>
        <w:snapToGrid w:val="0"/>
        <w:spacing w:line="460" w:lineRule="exact"/>
        <w:ind w:firstLine="482" w:firstLineChars="200"/>
        <w:rPr>
          <w:rFonts w:ascii="宋体" w:hAnsi="宋体" w:eastAsia="宋体" w:cs="宋体"/>
          <w:b/>
          <w:szCs w:val="24"/>
        </w:rPr>
      </w:pPr>
      <w:r>
        <w:rPr>
          <w:rFonts w:hint="eastAsia" w:ascii="宋体" w:hAnsi="宋体" w:eastAsia="宋体" w:cs="宋体"/>
          <w:b/>
          <w:szCs w:val="24"/>
        </w:rPr>
        <w:t>二、 保密义务</w:t>
      </w:r>
    </w:p>
    <w:p w14:paraId="07A188E9">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1、双方确认遵守《保密法》及其有关法律、法规，承担保守国家秘密和对乙方有关人员进行保密教育、管理的义务，采取有效措施确保本项目保密信息的安全。</w:t>
      </w:r>
    </w:p>
    <w:p w14:paraId="5E838ABF">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2、因实施本项目需要的涉及国家秘密的文件资料，由甲方负责提供，甲方在提供上述文件资料时，应当以书面方式明确所涉及国家秘密事项的密级、保密期限和保密要求；办理正式交接手续后，乙方负责按照甲方提供的书面保密要求妥善使用、保管。</w:t>
      </w:r>
    </w:p>
    <w:p w14:paraId="27A2DFD1">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3、乙方应按甲方要求，向甲方归还或销毁所有包含保密信息的文件资料、光盘、软件等及前述文件资料的所有副本。</w:t>
      </w:r>
    </w:p>
    <w:p w14:paraId="4EFB4A2E">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4、保密期限：自本协议生效之日起三年。如果所涉及的保密信息依照国家主管机关或相关法律、法规另有规定的，适用其相关规定。</w:t>
      </w:r>
    </w:p>
    <w:p w14:paraId="53403F1A">
      <w:pPr>
        <w:numPr>
          <w:ilvl w:val="0"/>
          <w:numId w:val="1"/>
        </w:num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乙方及其有关人员应当按照本协议的约定履行保密义务，相关负有保密义务的人员见附件。除附件中列明的人员外，接触本采购项目的乙方其他人员均应当按照本协议约定履行保密义务，乙方在履行主合同义务中采集获取到的所有信息均应当予以保密。</w:t>
      </w:r>
    </w:p>
    <w:p w14:paraId="56DAC8BE">
      <w:pPr>
        <w:numPr>
          <w:ilvl w:val="255"/>
          <w:numId w:val="0"/>
        </w:numPr>
        <w:adjustRightInd w:val="0"/>
        <w:snapToGrid w:val="0"/>
        <w:spacing w:line="460" w:lineRule="exact"/>
        <w:rPr>
          <w:rFonts w:ascii="宋体" w:hAnsi="宋体" w:eastAsia="宋体" w:cs="宋体"/>
          <w:szCs w:val="24"/>
        </w:rPr>
      </w:pPr>
      <w:r>
        <w:rPr>
          <w:rFonts w:hint="eastAsia" w:ascii="宋体" w:hAnsi="宋体" w:eastAsia="宋体" w:cs="宋体"/>
          <w:szCs w:val="24"/>
        </w:rPr>
        <w:t>违约责任：违约金以主合同《</w:t>
      </w:r>
      <w:r>
        <w:rPr>
          <w:rFonts w:hint="eastAsia" w:ascii="宋体" w:hAnsi="宋体" w:eastAsia="宋体" w:cs="宋体"/>
          <w:szCs w:val="24"/>
          <w:lang w:eastAsia="zh-CN"/>
        </w:rPr>
        <w:t>西安智慧应急平台密码测评项目</w:t>
      </w:r>
      <w:r>
        <w:rPr>
          <w:rFonts w:hint="eastAsia" w:ascii="宋体" w:hAnsi="宋体" w:eastAsia="宋体" w:cs="宋体"/>
          <w:szCs w:val="24"/>
        </w:rPr>
        <w:t>采购合同》总价的30%为上限，同时约定当违约金不足以补偿因乙方违反本协议造成的甲方损失时，甲方有权继续向违约方追偿并单方解除合同。</w:t>
      </w:r>
    </w:p>
    <w:p w14:paraId="2E389350">
      <w:pPr>
        <w:adjustRightInd w:val="0"/>
        <w:snapToGrid w:val="0"/>
        <w:spacing w:line="460" w:lineRule="exact"/>
        <w:ind w:firstLine="482" w:firstLineChars="200"/>
        <w:rPr>
          <w:rFonts w:ascii="宋体" w:hAnsi="宋体" w:eastAsia="宋体" w:cs="宋体"/>
          <w:b/>
          <w:szCs w:val="24"/>
        </w:rPr>
      </w:pPr>
      <w:r>
        <w:rPr>
          <w:rFonts w:hint="eastAsia" w:ascii="宋体" w:hAnsi="宋体" w:eastAsia="宋体" w:cs="宋体"/>
          <w:b/>
          <w:szCs w:val="24"/>
        </w:rPr>
        <w:t>三、协议生效及其他</w:t>
      </w:r>
    </w:p>
    <w:p w14:paraId="354596FB">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1、本协议自双方盖章之日起生效。</w:t>
      </w:r>
    </w:p>
    <w:p w14:paraId="4E8D8E08">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2、本协议一式柒份，甲方执肆份、乙方执叁份。具有同等法律效力。</w:t>
      </w:r>
    </w:p>
    <w:p w14:paraId="121E5576">
      <w:pPr>
        <w:adjustRightInd w:val="0"/>
        <w:snapToGrid w:val="0"/>
        <w:spacing w:line="460" w:lineRule="exact"/>
        <w:ind w:firstLine="480" w:firstLineChars="200"/>
        <w:rPr>
          <w:rFonts w:ascii="宋体" w:hAnsi="宋体" w:eastAsia="宋体" w:cs="宋体"/>
          <w:szCs w:val="24"/>
        </w:rPr>
      </w:pPr>
      <w:r>
        <w:rPr>
          <w:rFonts w:hint="eastAsia" w:ascii="宋体" w:hAnsi="宋体" w:eastAsia="宋体" w:cs="宋体"/>
          <w:szCs w:val="24"/>
        </w:rPr>
        <w:t>3、如在本协议履行过程中发生争议，双方应采取协商的办法解决。若协商</w:t>
      </w:r>
    </w:p>
    <w:p w14:paraId="7EB9EA3B">
      <w:pPr>
        <w:spacing w:line="460" w:lineRule="exact"/>
        <w:rPr>
          <w:rFonts w:ascii="宋体" w:hAnsi="宋体" w:eastAsia="宋体" w:cs="宋体"/>
          <w:szCs w:val="24"/>
        </w:rPr>
      </w:pPr>
      <w:r>
        <w:rPr>
          <w:rFonts w:hint="eastAsia" w:ascii="宋体" w:hAnsi="宋体" w:eastAsia="宋体" w:cs="宋体"/>
          <w:szCs w:val="24"/>
        </w:rPr>
        <w:t>解决不成，任何一方可向甲方所在地人民法院提起诉讼。</w:t>
      </w:r>
    </w:p>
    <w:p w14:paraId="05632062">
      <w:pPr>
        <w:spacing w:line="460" w:lineRule="exact"/>
        <w:ind w:firstLine="480" w:firstLineChars="200"/>
        <w:rPr>
          <w:rFonts w:hint="eastAsia" w:ascii="宋体" w:hAnsi="宋体" w:eastAsia="宋体" w:cs="宋体"/>
          <w:kern w:val="0"/>
          <w:szCs w:val="24"/>
          <w:lang w:val="zh-CN"/>
        </w:rPr>
      </w:pPr>
      <w:r>
        <w:rPr>
          <w:rFonts w:hint="eastAsia" w:ascii="宋体" w:hAnsi="宋体" w:cs="宋体"/>
          <w:szCs w:val="24"/>
          <w:lang w:val="en-US" w:eastAsia="zh-CN"/>
        </w:rPr>
        <w:t>附件:</w:t>
      </w:r>
      <w:r>
        <w:rPr>
          <w:rFonts w:hint="eastAsia" w:ascii="宋体" w:hAnsi="宋体" w:eastAsia="宋体" w:cs="宋体"/>
          <w:szCs w:val="24"/>
        </w:rPr>
        <w:t>项目组涉密人员名单</w:t>
      </w:r>
    </w:p>
    <w:p w14:paraId="73B376E8">
      <w:pPr>
        <w:spacing w:line="460" w:lineRule="exact"/>
        <w:ind w:firstLine="480" w:firstLineChars="200"/>
        <w:rPr>
          <w:rFonts w:hint="eastAsia" w:ascii="宋体" w:hAnsi="宋体" w:eastAsia="宋体" w:cs="宋体"/>
          <w:kern w:val="0"/>
          <w:szCs w:val="24"/>
          <w:lang w:val="zh-CN"/>
        </w:rPr>
      </w:pPr>
    </w:p>
    <w:p w14:paraId="642AEA95">
      <w:pPr>
        <w:spacing w:line="460" w:lineRule="exact"/>
        <w:ind w:firstLine="480" w:firstLineChars="200"/>
        <w:rPr>
          <w:rFonts w:hint="eastAsia" w:ascii="宋体" w:hAnsi="宋体" w:eastAsia="宋体" w:cs="宋体"/>
          <w:kern w:val="0"/>
          <w:szCs w:val="24"/>
          <w:lang w:val="zh-CN"/>
        </w:rPr>
      </w:pPr>
    </w:p>
    <w:p w14:paraId="52D10F59">
      <w:pPr>
        <w:spacing w:line="460" w:lineRule="exact"/>
        <w:ind w:firstLine="480" w:firstLineChars="200"/>
        <w:rPr>
          <w:rFonts w:hint="default" w:ascii="宋体" w:hAnsi="宋体" w:eastAsia="宋体" w:cs="宋体"/>
          <w:i/>
          <w:iCs/>
          <w:kern w:val="0"/>
          <w:szCs w:val="24"/>
          <w:lang w:val="en-US" w:eastAsia="zh-CN"/>
        </w:rPr>
      </w:pPr>
      <w:r>
        <w:rPr>
          <w:rFonts w:hint="eastAsia" w:ascii="宋体" w:hAnsi="宋体" w:cs="宋体"/>
          <w:i/>
          <w:iCs/>
          <w:kern w:val="0"/>
          <w:szCs w:val="24"/>
          <w:lang w:val="en-US" w:eastAsia="zh-CN"/>
        </w:rPr>
        <w:t>(盖章页)</w:t>
      </w:r>
    </w:p>
    <w:p w14:paraId="235E4B29">
      <w:pPr>
        <w:spacing w:line="460" w:lineRule="exact"/>
        <w:ind w:firstLine="480" w:firstLineChars="200"/>
        <w:rPr>
          <w:rFonts w:hint="eastAsia" w:ascii="宋体" w:hAnsi="宋体" w:eastAsia="宋体" w:cs="宋体"/>
          <w:kern w:val="0"/>
          <w:szCs w:val="24"/>
          <w:lang w:val="zh-CN"/>
        </w:rPr>
      </w:pPr>
    </w:p>
    <w:p w14:paraId="711AD9F4">
      <w:pPr>
        <w:spacing w:line="460" w:lineRule="exact"/>
        <w:ind w:firstLine="480" w:firstLineChars="200"/>
        <w:rPr>
          <w:rFonts w:hint="eastAsia" w:ascii="宋体" w:hAnsi="宋体" w:eastAsia="宋体" w:cs="宋体"/>
          <w:kern w:val="0"/>
          <w:szCs w:val="24"/>
          <w:lang w:val="zh-CN"/>
        </w:rPr>
      </w:pPr>
    </w:p>
    <w:p w14:paraId="7997A85C">
      <w:pPr>
        <w:spacing w:line="460" w:lineRule="exact"/>
        <w:ind w:firstLine="480" w:firstLineChars="200"/>
        <w:rPr>
          <w:rFonts w:hint="eastAsia" w:ascii="宋体" w:hAnsi="宋体" w:eastAsia="宋体" w:cs="宋体"/>
          <w:kern w:val="0"/>
          <w:szCs w:val="24"/>
          <w:lang w:val="zh-CN"/>
        </w:rPr>
      </w:pPr>
    </w:p>
    <w:p w14:paraId="10F2EF5E">
      <w:pPr>
        <w:spacing w:line="460" w:lineRule="exact"/>
        <w:ind w:firstLine="480" w:firstLineChars="200"/>
        <w:rPr>
          <w:rFonts w:ascii="宋体" w:hAnsi="宋体" w:eastAsia="宋体" w:cs="宋体"/>
          <w:kern w:val="0"/>
          <w:szCs w:val="24"/>
          <w:lang w:val="zh-CN"/>
        </w:rPr>
      </w:pPr>
      <w:r>
        <w:rPr>
          <w:rFonts w:hint="eastAsia" w:ascii="宋体" w:hAnsi="宋体" w:eastAsia="宋体" w:cs="宋体"/>
          <w:kern w:val="0"/>
          <w:szCs w:val="24"/>
          <w:lang w:val="zh-CN"/>
        </w:rPr>
        <w:t>甲    方：西安市应急管理局（盖章）</w:t>
      </w:r>
    </w:p>
    <w:p w14:paraId="15ADE3ED">
      <w:pPr>
        <w:autoSpaceDE w:val="0"/>
        <w:autoSpaceDN w:val="0"/>
        <w:adjustRightInd w:val="0"/>
        <w:snapToGrid w:val="0"/>
        <w:spacing w:before="156" w:beforeLines="50" w:after="156" w:afterLines="50" w:line="460" w:lineRule="exact"/>
        <w:ind w:firstLine="480" w:firstLineChars="200"/>
        <w:textAlignment w:val="baseline"/>
        <w:rPr>
          <w:rFonts w:ascii="宋体" w:hAnsi="宋体" w:eastAsia="宋体" w:cs="宋体"/>
          <w:kern w:val="0"/>
          <w:szCs w:val="24"/>
          <w:lang w:val="zh-CN"/>
        </w:rPr>
      </w:pPr>
      <w:r>
        <w:rPr>
          <w:rFonts w:hint="eastAsia" w:ascii="宋体" w:hAnsi="宋体" w:eastAsia="宋体" w:cs="宋体"/>
          <w:kern w:val="0"/>
          <w:szCs w:val="24"/>
          <w:lang w:val="zh-CN"/>
        </w:rPr>
        <w:t>法定代表人或授权代表：</w:t>
      </w:r>
    </w:p>
    <w:p w14:paraId="2E6633B1">
      <w:pPr>
        <w:autoSpaceDE w:val="0"/>
        <w:autoSpaceDN w:val="0"/>
        <w:adjustRightInd w:val="0"/>
        <w:snapToGrid w:val="0"/>
        <w:spacing w:line="460" w:lineRule="exact"/>
        <w:ind w:firstLine="480" w:firstLineChars="200"/>
        <w:textAlignment w:val="baseline"/>
        <w:rPr>
          <w:rFonts w:ascii="宋体" w:hAnsi="宋体" w:eastAsia="宋体" w:cs="宋体"/>
          <w:kern w:val="0"/>
          <w:szCs w:val="24"/>
          <w:lang w:val="zh-CN"/>
        </w:rPr>
      </w:pPr>
      <w:r>
        <w:rPr>
          <w:rFonts w:hint="eastAsia" w:ascii="宋体" w:hAnsi="宋体" w:eastAsia="宋体" w:cs="宋体"/>
          <w:kern w:val="0"/>
          <w:szCs w:val="24"/>
          <w:lang w:val="zh-CN"/>
        </w:rPr>
        <w:t>签订日期：        年    月    日</w:t>
      </w:r>
    </w:p>
    <w:p w14:paraId="7FAB4F75">
      <w:pPr>
        <w:autoSpaceDE w:val="0"/>
        <w:autoSpaceDN w:val="0"/>
        <w:adjustRightInd w:val="0"/>
        <w:snapToGrid w:val="0"/>
        <w:spacing w:line="460" w:lineRule="exact"/>
        <w:ind w:firstLine="480" w:firstLineChars="200"/>
        <w:textAlignment w:val="baseline"/>
        <w:rPr>
          <w:rFonts w:ascii="宋体" w:hAnsi="宋体" w:eastAsia="宋体" w:cs="宋体"/>
          <w:kern w:val="0"/>
          <w:szCs w:val="24"/>
          <w:lang w:val="zh-CN"/>
        </w:rPr>
      </w:pPr>
    </w:p>
    <w:p w14:paraId="5EA39DE4">
      <w:pPr>
        <w:autoSpaceDE w:val="0"/>
        <w:autoSpaceDN w:val="0"/>
        <w:adjustRightInd w:val="0"/>
        <w:snapToGrid w:val="0"/>
        <w:spacing w:line="460" w:lineRule="exact"/>
        <w:ind w:firstLine="480" w:firstLineChars="200"/>
        <w:textAlignment w:val="baseline"/>
        <w:rPr>
          <w:rFonts w:hint="eastAsia" w:ascii="宋体" w:hAnsi="宋体" w:eastAsia="宋体" w:cs="宋体"/>
          <w:kern w:val="0"/>
          <w:szCs w:val="24"/>
          <w:lang w:val="zh-CN"/>
        </w:rPr>
      </w:pPr>
    </w:p>
    <w:p w14:paraId="3D78846E">
      <w:pPr>
        <w:autoSpaceDE w:val="0"/>
        <w:autoSpaceDN w:val="0"/>
        <w:adjustRightInd w:val="0"/>
        <w:snapToGrid w:val="0"/>
        <w:spacing w:line="460" w:lineRule="exact"/>
        <w:ind w:firstLine="480" w:firstLineChars="200"/>
        <w:textAlignment w:val="baseline"/>
        <w:rPr>
          <w:rFonts w:ascii="宋体" w:hAnsi="宋体" w:eastAsia="宋体" w:cs="宋体"/>
          <w:kern w:val="0"/>
          <w:szCs w:val="24"/>
          <w:lang w:val="zh-CN"/>
        </w:rPr>
      </w:pPr>
      <w:r>
        <w:rPr>
          <w:rFonts w:hint="eastAsia" w:ascii="宋体" w:hAnsi="宋体" w:eastAsia="宋体" w:cs="宋体"/>
          <w:kern w:val="0"/>
          <w:szCs w:val="24"/>
          <w:lang w:val="zh-CN"/>
        </w:rPr>
        <w:t>乙    方：</w:t>
      </w:r>
      <w:r>
        <w:rPr>
          <w:rFonts w:hint="eastAsia" w:ascii="宋体" w:hAnsi="宋体" w:eastAsia="宋体" w:cs="宋体"/>
          <w:szCs w:val="24"/>
        </w:rPr>
        <w:t>（盖章）</w:t>
      </w:r>
    </w:p>
    <w:p w14:paraId="5B126E4F">
      <w:pPr>
        <w:autoSpaceDE w:val="0"/>
        <w:autoSpaceDN w:val="0"/>
        <w:adjustRightInd w:val="0"/>
        <w:snapToGrid w:val="0"/>
        <w:spacing w:before="156" w:beforeLines="50" w:after="156" w:afterLines="50" w:line="460" w:lineRule="exact"/>
        <w:ind w:firstLine="480" w:firstLineChars="200"/>
        <w:textAlignment w:val="baseline"/>
        <w:rPr>
          <w:rFonts w:ascii="宋体" w:hAnsi="宋体" w:eastAsia="宋体" w:cs="宋体"/>
          <w:kern w:val="0"/>
          <w:szCs w:val="24"/>
          <w:lang w:val="zh-CN"/>
        </w:rPr>
      </w:pPr>
      <w:r>
        <w:rPr>
          <w:rFonts w:hint="eastAsia" w:ascii="宋体" w:hAnsi="宋体" w:eastAsia="宋体" w:cs="宋体"/>
          <w:kern w:val="0"/>
          <w:szCs w:val="24"/>
          <w:lang w:val="zh-CN"/>
        </w:rPr>
        <w:t>法定代表人或授权代表：</w:t>
      </w:r>
    </w:p>
    <w:p w14:paraId="7CCFC818">
      <w:pPr>
        <w:autoSpaceDE w:val="0"/>
        <w:autoSpaceDN w:val="0"/>
        <w:adjustRightInd w:val="0"/>
        <w:snapToGrid w:val="0"/>
        <w:spacing w:line="460" w:lineRule="exact"/>
        <w:ind w:firstLine="480" w:firstLineChars="200"/>
        <w:textAlignment w:val="baseline"/>
        <w:rPr>
          <w:rFonts w:hint="eastAsia" w:ascii="宋体" w:hAnsi="宋体" w:eastAsia="宋体" w:cs="宋体"/>
          <w:kern w:val="0"/>
          <w:szCs w:val="24"/>
          <w:lang w:val="zh-CN"/>
        </w:rPr>
      </w:pPr>
      <w:r>
        <w:rPr>
          <w:rFonts w:hint="eastAsia" w:ascii="宋体" w:hAnsi="宋体" w:eastAsia="宋体" w:cs="宋体"/>
          <w:kern w:val="0"/>
          <w:szCs w:val="24"/>
          <w:lang w:val="zh-CN"/>
        </w:rPr>
        <w:t>签订日期：        年    月    日</w:t>
      </w:r>
    </w:p>
    <w:p w14:paraId="1315B9FF">
      <w:pPr>
        <w:autoSpaceDE/>
        <w:autoSpaceDN/>
        <w:adjustRightInd/>
        <w:snapToGrid/>
        <w:spacing w:line="240" w:lineRule="auto"/>
        <w:ind w:firstLine="0" w:firstLineChars="0"/>
        <w:textAlignment w:val="auto"/>
        <w:rPr>
          <w:rFonts w:hint="eastAsia" w:ascii="宋体" w:hAnsi="宋体" w:eastAsia="宋体" w:cs="宋体"/>
          <w:kern w:val="0"/>
          <w:szCs w:val="24"/>
          <w:lang w:val="zh-CN"/>
        </w:rPr>
      </w:pPr>
      <w:r>
        <w:rPr>
          <w:rFonts w:hint="eastAsia" w:ascii="宋体" w:hAnsi="宋体" w:eastAsia="宋体" w:cs="宋体"/>
          <w:kern w:val="0"/>
          <w:szCs w:val="24"/>
          <w:lang w:val="zh-CN"/>
        </w:rPr>
        <w:br w:type="page"/>
      </w:r>
    </w:p>
    <w:p w14:paraId="6F1E0B0F">
      <w:pPr>
        <w:adjustRightInd w:val="0"/>
        <w:snapToGrid w:val="0"/>
        <w:spacing w:line="460" w:lineRule="exact"/>
        <w:ind w:firstLine="0" w:firstLineChars="0"/>
        <w:rPr>
          <w:rFonts w:hint="default" w:ascii="宋体" w:hAnsi="宋体" w:eastAsia="宋体" w:cs="宋体"/>
          <w:szCs w:val="24"/>
          <w:lang w:val="en-US" w:eastAsia="zh-CN"/>
        </w:rPr>
      </w:pPr>
      <w:r>
        <w:rPr>
          <w:rFonts w:hint="eastAsia" w:ascii="宋体" w:hAnsi="宋体" w:cs="宋体"/>
          <w:szCs w:val="24"/>
          <w:lang w:val="en-US" w:eastAsia="zh-CN"/>
        </w:rPr>
        <w:t>附件:：</w:t>
      </w:r>
    </w:p>
    <w:p w14:paraId="4A814259">
      <w:pPr>
        <w:adjustRightInd w:val="0"/>
        <w:snapToGrid w:val="0"/>
        <w:spacing w:line="460" w:lineRule="exact"/>
        <w:ind w:firstLine="3120" w:firstLineChars="1300"/>
        <w:rPr>
          <w:rFonts w:hint="eastAsia" w:ascii="宋体" w:hAnsi="宋体" w:eastAsia="宋体" w:cs="宋体"/>
          <w:szCs w:val="24"/>
        </w:rPr>
      </w:pPr>
    </w:p>
    <w:p w14:paraId="0601A050">
      <w:pPr>
        <w:adjustRightInd w:val="0"/>
        <w:snapToGrid w:val="0"/>
        <w:spacing w:line="460" w:lineRule="exact"/>
        <w:ind w:firstLine="3120" w:firstLineChars="1300"/>
        <w:rPr>
          <w:rFonts w:hint="eastAsia" w:ascii="宋体" w:hAnsi="宋体" w:eastAsia="宋体" w:cs="宋体"/>
          <w:szCs w:val="24"/>
        </w:rPr>
      </w:pPr>
      <w:r>
        <w:rPr>
          <w:rFonts w:hint="eastAsia" w:ascii="宋体" w:hAnsi="宋体" w:eastAsia="宋体" w:cs="宋体"/>
          <w:szCs w:val="24"/>
        </w:rPr>
        <w:t>项目组涉密人员名单</w:t>
      </w:r>
    </w:p>
    <w:p w14:paraId="4738DC92">
      <w:pPr>
        <w:adjustRightInd w:val="0"/>
        <w:snapToGrid w:val="0"/>
        <w:spacing w:line="460" w:lineRule="exact"/>
        <w:ind w:firstLine="3120" w:firstLineChars="1300"/>
        <w:rPr>
          <w:rFonts w:hint="eastAsia" w:ascii="宋体" w:hAnsi="宋体" w:eastAsia="宋体" w:cs="宋体"/>
          <w:szCs w:val="24"/>
        </w:rPr>
      </w:pPr>
    </w:p>
    <w:tbl>
      <w:tblPr>
        <w:tblStyle w:val="7"/>
        <w:tblW w:w="4809" w:type="pct"/>
        <w:jc w:val="center"/>
        <w:tblLayout w:type="fixed"/>
        <w:tblCellMar>
          <w:top w:w="0" w:type="dxa"/>
          <w:left w:w="108" w:type="dxa"/>
          <w:bottom w:w="0" w:type="dxa"/>
          <w:right w:w="108" w:type="dxa"/>
        </w:tblCellMar>
      </w:tblPr>
      <w:tblGrid>
        <w:gridCol w:w="3751"/>
        <w:gridCol w:w="4445"/>
      </w:tblGrid>
      <w:tr w14:paraId="78877389">
        <w:tblPrEx>
          <w:tblCellMar>
            <w:top w:w="0" w:type="dxa"/>
            <w:left w:w="108" w:type="dxa"/>
            <w:bottom w:w="0" w:type="dxa"/>
            <w:right w:w="108" w:type="dxa"/>
          </w:tblCellMar>
        </w:tblPrEx>
        <w:trPr>
          <w:trHeight w:val="351" w:hRule="atLeast"/>
          <w:jc w:val="center"/>
        </w:trPr>
        <w:tc>
          <w:tcPr>
            <w:tcW w:w="22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DF8E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4"/>
              </w:rPr>
            </w:pPr>
            <w:r>
              <w:rPr>
                <w:rFonts w:hint="eastAsia" w:ascii="宋体" w:hAnsi="宋体" w:eastAsia="宋体" w:cs="宋体"/>
                <w:szCs w:val="24"/>
              </w:rPr>
              <w:t>人员姓名</w:t>
            </w:r>
          </w:p>
        </w:tc>
        <w:tc>
          <w:tcPr>
            <w:tcW w:w="2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4DAAB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4"/>
              </w:rPr>
            </w:pPr>
            <w:r>
              <w:rPr>
                <w:rFonts w:hint="eastAsia" w:ascii="宋体" w:hAnsi="宋体" w:eastAsia="宋体" w:cs="宋体"/>
                <w:szCs w:val="24"/>
              </w:rPr>
              <w:t>电 话</w:t>
            </w:r>
          </w:p>
        </w:tc>
      </w:tr>
      <w:tr w14:paraId="0F0BF3C2">
        <w:tblPrEx>
          <w:tblCellMar>
            <w:top w:w="0" w:type="dxa"/>
            <w:left w:w="108" w:type="dxa"/>
            <w:bottom w:w="0" w:type="dxa"/>
            <w:right w:w="108" w:type="dxa"/>
          </w:tblCellMar>
        </w:tblPrEx>
        <w:trPr>
          <w:trHeight w:val="351" w:hRule="atLeast"/>
          <w:jc w:val="center"/>
        </w:trPr>
        <w:tc>
          <w:tcPr>
            <w:tcW w:w="22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0F69B0">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c>
          <w:tcPr>
            <w:tcW w:w="2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6049676">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r>
      <w:tr w14:paraId="13709B49">
        <w:tblPrEx>
          <w:tblCellMar>
            <w:top w:w="0" w:type="dxa"/>
            <w:left w:w="108" w:type="dxa"/>
            <w:bottom w:w="0" w:type="dxa"/>
            <w:right w:w="108" w:type="dxa"/>
          </w:tblCellMar>
        </w:tblPrEx>
        <w:trPr>
          <w:trHeight w:val="351" w:hRule="atLeast"/>
          <w:jc w:val="center"/>
        </w:trPr>
        <w:tc>
          <w:tcPr>
            <w:tcW w:w="22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98F592">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c>
          <w:tcPr>
            <w:tcW w:w="2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E25B87">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r>
      <w:tr w14:paraId="7879B9A2">
        <w:tblPrEx>
          <w:tblCellMar>
            <w:top w:w="0" w:type="dxa"/>
            <w:left w:w="108" w:type="dxa"/>
            <w:bottom w:w="0" w:type="dxa"/>
            <w:right w:w="108" w:type="dxa"/>
          </w:tblCellMar>
        </w:tblPrEx>
        <w:trPr>
          <w:trHeight w:val="351" w:hRule="atLeast"/>
          <w:jc w:val="center"/>
        </w:trPr>
        <w:tc>
          <w:tcPr>
            <w:tcW w:w="22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7DD4D9">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c>
          <w:tcPr>
            <w:tcW w:w="2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365EBA">
            <w:pPr>
              <w:keepNext w:val="0"/>
              <w:keepLines w:val="0"/>
              <w:pageBreakBefore w:val="0"/>
              <w:widowControl w:val="0"/>
              <w:kinsoku/>
              <w:wordWrap/>
              <w:overflowPunct/>
              <w:topLinePunct w:val="0"/>
              <w:autoSpaceDE/>
              <w:autoSpaceDN/>
              <w:bidi w:val="0"/>
              <w:snapToGrid w:val="0"/>
              <w:spacing w:line="240" w:lineRule="auto"/>
              <w:jc w:val="center"/>
              <w:textAlignment w:val="auto"/>
              <w:rPr>
                <w:rFonts w:ascii="宋体" w:hAnsi="宋体" w:eastAsia="宋体" w:cs="宋体"/>
                <w:szCs w:val="24"/>
              </w:rPr>
            </w:pPr>
          </w:p>
        </w:tc>
      </w:tr>
      <w:tr w14:paraId="0B4171D9">
        <w:tblPrEx>
          <w:tblCellMar>
            <w:top w:w="0" w:type="dxa"/>
            <w:left w:w="108" w:type="dxa"/>
            <w:bottom w:w="0" w:type="dxa"/>
            <w:right w:w="108" w:type="dxa"/>
          </w:tblCellMar>
        </w:tblPrEx>
        <w:trPr>
          <w:trHeight w:val="351" w:hRule="atLeast"/>
          <w:jc w:val="center"/>
        </w:trPr>
        <w:tc>
          <w:tcPr>
            <w:tcW w:w="22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BF43D8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宋体" w:hAnsi="宋体" w:eastAsia="宋体" w:cs="宋体"/>
                <w:szCs w:val="24"/>
                <w:lang w:val="en-US" w:eastAsia="zh-CN"/>
              </w:rPr>
            </w:pPr>
            <w:r>
              <w:rPr>
                <w:rFonts w:hint="eastAsia" w:ascii="宋体" w:hAnsi="宋体" w:eastAsia="宋体" w:cs="宋体"/>
                <w:szCs w:val="24"/>
                <w:lang w:val="en-US" w:eastAsia="zh-CN"/>
              </w:rPr>
              <w:t>...</w:t>
            </w:r>
          </w:p>
        </w:tc>
        <w:tc>
          <w:tcPr>
            <w:tcW w:w="2711" w:type="pct"/>
            <w:tcBorders>
              <w:top w:val="single" w:color="000000" w:sz="4" w:space="0"/>
              <w:left w:val="single" w:color="auto" w:sz="4" w:space="0"/>
              <w:bottom w:val="single" w:color="000000" w:sz="4" w:space="0"/>
              <w:right w:val="single" w:color="000000" w:sz="4" w:space="0"/>
            </w:tcBorders>
            <w:shd w:val="clear" w:color="auto" w:fill="auto"/>
            <w:noWrap/>
            <w:vAlign w:val="center"/>
          </w:tcPr>
          <w:p w14:paraId="787AD46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宋体" w:hAnsi="宋体" w:eastAsia="宋体" w:cs="宋体"/>
                <w:szCs w:val="24"/>
                <w:lang w:val="en-US" w:eastAsia="zh-CN"/>
              </w:rPr>
            </w:pPr>
            <w:r>
              <w:rPr>
                <w:rFonts w:hint="eastAsia" w:ascii="宋体" w:hAnsi="宋体" w:eastAsia="宋体" w:cs="宋体"/>
                <w:szCs w:val="24"/>
                <w:lang w:val="en-US" w:eastAsia="zh-CN"/>
              </w:rPr>
              <w:t>...</w:t>
            </w:r>
          </w:p>
        </w:tc>
      </w:tr>
    </w:tbl>
    <w:p w14:paraId="23E881A9">
      <w:pPr>
        <w:spacing w:line="460" w:lineRule="exact"/>
        <w:ind w:firstLine="480" w:firstLineChars="200"/>
        <w:rPr>
          <w:rFonts w:ascii="宋体" w:hAnsi="宋体" w:eastAsia="宋体" w:cs="宋体"/>
          <w:kern w:val="0"/>
          <w:szCs w:val="24"/>
          <w:lang w:val="zh-CN"/>
        </w:rPr>
      </w:pPr>
    </w:p>
    <w:p w14:paraId="6F842BFE">
      <w:pPr>
        <w:autoSpaceDE w:val="0"/>
        <w:autoSpaceDN w:val="0"/>
        <w:adjustRightInd w:val="0"/>
        <w:snapToGrid w:val="0"/>
        <w:spacing w:line="460" w:lineRule="exact"/>
        <w:ind w:firstLine="480" w:firstLineChars="200"/>
        <w:textAlignment w:val="baseline"/>
        <w:rPr>
          <w:rFonts w:hint="eastAsia" w:ascii="宋体" w:hAnsi="宋体" w:eastAsia="宋体" w:cs="宋体"/>
          <w:kern w:val="0"/>
          <w:szCs w:val="24"/>
          <w:lang w:val="zh-CN"/>
        </w:rPr>
      </w:pPr>
    </w:p>
    <w:p w14:paraId="26CDCF3F">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43F21A"/>
    <w:multiLevelType w:val="singleLevel"/>
    <w:tmpl w:val="7143F21A"/>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87923"/>
    <w:rsid w:val="07B87923"/>
    <w:rsid w:val="0A2204BA"/>
    <w:rsid w:val="150938A0"/>
    <w:rsid w:val="1C11704F"/>
    <w:rsid w:val="5AA44C7D"/>
    <w:rsid w:val="6BF06B03"/>
    <w:rsid w:val="7BC73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next w:val="1"/>
    <w:qFormat/>
    <w:uiPriority w:val="0"/>
    <w:pPr>
      <w:keepNext/>
      <w:keepLines/>
      <w:widowControl w:val="0"/>
      <w:spacing w:before="340" w:after="330" w:line="578" w:lineRule="auto"/>
      <w:jc w:val="both"/>
      <w:outlineLvl w:val="0"/>
    </w:pPr>
    <w:rPr>
      <w:rFonts w:ascii="Times New Roman" w:hAnsi="Times New Roman" w:eastAsia="宋体" w:cs="Times New Roman"/>
      <w:b/>
      <w:bCs/>
      <w:kern w:val="44"/>
      <w:sz w:val="44"/>
      <w:szCs w:val="44"/>
      <w:lang w:val="en-US" w:eastAsia="zh-CN" w:bidi="ar-SA"/>
    </w:rPr>
  </w:style>
  <w:style w:type="paragraph" w:styleId="3">
    <w:name w:val="heading 5"/>
    <w:basedOn w:val="1"/>
    <w:next w:val="1"/>
    <w:semiHidden/>
    <w:unhideWhenUsed/>
    <w:qFormat/>
    <w:uiPriority w:val="0"/>
    <w:pPr>
      <w:keepNext/>
      <w:keepLines/>
      <w:spacing w:before="280" w:beforeLines="0" w:beforeAutospacing="0" w:after="290" w:afterLines="0" w:afterAutospacing="0" w:line="360" w:lineRule="auto"/>
      <w:jc w:val="left"/>
      <w:outlineLvl w:val="4"/>
    </w:pPr>
    <w:rPr>
      <w:rFonts w:ascii="Times New Roman" w:hAnsi="Times New Roman" w:eastAsia="宋体" w:cs="Times New Roman"/>
      <w:b/>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idowControl w:val="0"/>
      <w:spacing w:after="120" w:afterLines="0"/>
      <w:jc w:val="both"/>
    </w:pPr>
    <w:rPr>
      <w:rFonts w:ascii="Tahoma" w:hAnsi="Tahoma" w:eastAsia="宋体" w:cs="Times New Roman"/>
      <w:kern w:val="2"/>
      <w:sz w:val="21"/>
      <w:szCs w:val="24"/>
      <w:lang w:val="en-US" w:eastAsia="zh-CN" w:bidi="ar-SA"/>
    </w:rPr>
  </w:style>
  <w:style w:type="paragraph" w:styleId="5">
    <w:name w:val="toc 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正文-公1"/>
    <w:next w:val="1"/>
    <w:qFormat/>
    <w:uiPriority w:val="99"/>
    <w:pPr>
      <w:widowControl w:val="0"/>
      <w:ind w:firstLine="200"/>
      <w:jc w:val="left"/>
    </w:pPr>
    <w:rPr>
      <w:rFonts w:ascii="Times New Roman" w:hAnsi="Times New Roman" w:eastAsia="仿宋_GB2312" w:cs="Times New Roman"/>
      <w:kern w:val="2"/>
      <w:sz w:val="24"/>
      <w:lang w:val="en-US" w:eastAsia="zh-CN" w:bidi="ar-SA"/>
    </w:rPr>
  </w:style>
  <w:style w:type="paragraph" w:styleId="10">
    <w:name w:val="List Paragraph"/>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正文文本1"/>
    <w:qFormat/>
    <w:uiPriority w:val="0"/>
    <w:pPr>
      <w:widowControl w:val="0"/>
      <w:spacing w:after="130" w:line="324" w:lineRule="auto"/>
      <w:ind w:firstLine="400"/>
      <w:jc w:val="left"/>
    </w:pPr>
    <w:rPr>
      <w:rFonts w:ascii="宋体" w:hAnsi="宋体" w:eastAsia="宋体" w:cs="宋体"/>
      <w:color w:val="E47A6E"/>
      <w:kern w:val="0"/>
      <w:sz w:val="20"/>
      <w:lang w:val="zh-CN" w:eastAsia="zh-CN" w:bidi="zh-CN"/>
    </w:rPr>
  </w:style>
  <w:style w:type="paragraph" w:customStyle="1" w:styleId="13">
    <w:name w:val="Table Text"/>
    <w:semiHidden/>
    <w:qFormat/>
    <w:uiPriority w:val="0"/>
    <w:pPr>
      <w:widowControl w:val="0"/>
      <w:jc w:val="both"/>
    </w:pPr>
    <w:rPr>
      <w:rFonts w:ascii="宋体" w:hAnsi="宋体" w:eastAsia="宋体" w:cs="宋体"/>
      <w:kern w:val="2"/>
      <w:sz w:val="14"/>
      <w:szCs w:val="1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1533</Words>
  <Characters>1609</Characters>
  <Lines>0</Lines>
  <Paragraphs>0</Paragraphs>
  <TotalTime>5</TotalTime>
  <ScaleCrop>false</ScaleCrop>
  <LinksUpToDate>false</LinksUpToDate>
  <CharactersWithSpaces>1739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2025-08-07T05:04:00Z</dcterms:created>
  <dc:creator>爱偷懒的阍者</dc:creator>
  <cp:lastModifiedBy>剑如初兮君如故 ^</cp:lastModifiedBy>
  <dcterms:modified xsi:type="dcterms:W3CDTF">2025-08-08T08:47:51Z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7FEF70AE4FD4474FA426F81CD468CECD_11</vt:lpwstr>
  </property>
  <property fmtid="{D5CDD505-2E9C-101B-9397-08002B2CF9AE}" pid="4" name="KSOTemplateDocerSaveRecord">
    <vt:lpwstr>eyJoZGlkIjoiM2NiN2NmZGJkYzgwYTI1MDM4OThlZGIyZjBhMWY2YmEiLCJ1c2VySWQiOiI0NTg3NTI5OTEifQ==</vt:lpwstr>
  </property>
</Properties>
</file>