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3AAA4">
      <w:pPr>
        <w:tabs>
          <w:tab w:val="left" w:pos="735"/>
        </w:tabs>
        <w:autoSpaceDE w:val="0"/>
        <w:autoSpaceDN w:val="0"/>
        <w:adjustRightInd w:val="0"/>
        <w:snapToGrid w:val="0"/>
        <w:spacing w:beforeLines="100" w:line="360" w:lineRule="auto"/>
        <w:rPr>
          <w:rFonts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甲方：</w:t>
      </w:r>
      <w:r>
        <w:rPr>
          <w:rFonts w:hint="eastAsia" w:ascii="仿宋" w:hAnsi="仿宋" w:eastAsia="仿宋" w:cs="仿宋"/>
          <w:bCs/>
          <w:color w:val="auto"/>
          <w:sz w:val="24"/>
          <w:highlight w:val="none"/>
          <w:lang w:val="zh-CN"/>
        </w:rPr>
        <w:t>（前款所称采购人）     住所：</w:t>
      </w:r>
    </w:p>
    <w:p w14:paraId="7B949533">
      <w:pPr>
        <w:tabs>
          <w:tab w:val="left" w:pos="735"/>
        </w:tabs>
        <w:autoSpaceDE w:val="0"/>
        <w:autoSpaceDN w:val="0"/>
        <w:adjustRightInd w:val="0"/>
        <w:snapToGrid w:val="0"/>
        <w:spacing w:line="360" w:lineRule="auto"/>
        <w:rPr>
          <w:rFonts w:ascii="仿宋" w:hAnsi="仿宋" w:eastAsia="仿宋" w:cs="仿宋"/>
          <w:bCs/>
          <w:color w:val="auto"/>
          <w:sz w:val="24"/>
          <w:highlight w:val="none"/>
          <w:lang w:val="zh-CN"/>
        </w:rPr>
      </w:pPr>
      <w:r>
        <w:rPr>
          <w:rFonts w:hint="eastAsia" w:ascii="仿宋" w:hAnsi="仿宋" w:eastAsia="仿宋" w:cs="仿宋"/>
          <w:b/>
          <w:bCs/>
          <w:color w:val="auto"/>
          <w:sz w:val="24"/>
          <w:highlight w:val="none"/>
          <w:lang w:val="zh-CN"/>
        </w:rPr>
        <w:t>乙方：</w:t>
      </w:r>
      <w:r>
        <w:rPr>
          <w:rFonts w:hint="eastAsia" w:ascii="仿宋" w:hAnsi="仿宋" w:eastAsia="仿宋" w:cs="仿宋"/>
          <w:bCs/>
          <w:color w:val="auto"/>
          <w:sz w:val="24"/>
          <w:highlight w:val="none"/>
          <w:lang w:val="zh-CN"/>
        </w:rPr>
        <w:t>（前款所称</w:t>
      </w:r>
      <w:r>
        <w:rPr>
          <w:rFonts w:hint="eastAsia" w:ascii="仿宋" w:hAnsi="仿宋" w:eastAsia="仿宋" w:cs="仿宋"/>
          <w:bCs/>
          <w:color w:val="auto"/>
          <w:sz w:val="24"/>
          <w:highlight w:val="none"/>
        </w:rPr>
        <w:t>成交供应商</w:t>
      </w:r>
      <w:r>
        <w:rPr>
          <w:rFonts w:hint="eastAsia" w:ascii="仿宋" w:hAnsi="仿宋" w:eastAsia="仿宋" w:cs="仿宋"/>
          <w:bCs/>
          <w:color w:val="auto"/>
          <w:sz w:val="24"/>
          <w:highlight w:val="none"/>
          <w:lang w:val="zh-CN"/>
        </w:rPr>
        <w:t>）     住所：</w:t>
      </w:r>
    </w:p>
    <w:p w14:paraId="054156A4">
      <w:pPr>
        <w:adjustRightInd w:val="0"/>
        <w:snapToGrid w:val="0"/>
        <w:spacing w:line="360" w:lineRule="auto"/>
        <w:ind w:firstLine="480" w:firstLineChars="200"/>
        <w:rPr>
          <w:rFonts w:ascii="仿宋" w:hAnsi="仿宋" w:eastAsia="仿宋" w:cs="仿宋"/>
          <w:color w:val="auto"/>
          <w:sz w:val="24"/>
          <w:highlight w:val="none"/>
        </w:rPr>
      </w:pPr>
      <w:bookmarkStart w:id="0" w:name="_Toc19515384"/>
      <w:r>
        <w:rPr>
          <w:rFonts w:hint="eastAsia" w:ascii="仿宋" w:hAnsi="仿宋" w:eastAsia="仿宋" w:cs="仿宋"/>
          <w:color w:val="auto"/>
          <w:sz w:val="24"/>
          <w:highlight w:val="none"/>
        </w:rPr>
        <w:t>一、合同内容（标的、数量、质量等）</w:t>
      </w:r>
      <w:bookmarkEnd w:id="0"/>
      <w:r>
        <w:rPr>
          <w:rFonts w:hint="eastAsia" w:ascii="仿宋" w:hAnsi="仿宋" w:eastAsia="仿宋" w:cs="仿宋"/>
          <w:color w:val="auto"/>
          <w:sz w:val="24"/>
          <w:highlight w:val="none"/>
        </w:rPr>
        <w:t>：</w:t>
      </w:r>
    </w:p>
    <w:p w14:paraId="2F6C53C0">
      <w:pPr>
        <w:adjustRightInd w:val="0"/>
        <w:snapToGrid w:val="0"/>
        <w:spacing w:line="360" w:lineRule="auto"/>
        <w:ind w:firstLine="480" w:firstLineChars="200"/>
        <w:rPr>
          <w:rFonts w:ascii="仿宋" w:hAnsi="仿宋" w:eastAsia="仿宋" w:cs="仿宋"/>
          <w:color w:val="auto"/>
          <w:sz w:val="24"/>
          <w:highlight w:val="none"/>
        </w:rPr>
      </w:pPr>
      <w:bookmarkStart w:id="1" w:name="_Toc19515385"/>
      <w:r>
        <w:rPr>
          <w:rFonts w:hint="eastAsia" w:ascii="仿宋" w:hAnsi="仿宋" w:eastAsia="仿宋" w:cs="仿宋"/>
          <w:color w:val="auto"/>
          <w:sz w:val="24"/>
          <w:highlight w:val="none"/>
        </w:rPr>
        <w:t>二、合同价款</w:t>
      </w:r>
      <w:bookmarkEnd w:id="1"/>
    </w:p>
    <w:p w14:paraId="27F605F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1、合同总价：</w:t>
      </w:r>
    </w:p>
    <w:p w14:paraId="2956943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2、合同总价包括：</w:t>
      </w:r>
    </w:p>
    <w:p w14:paraId="14804A4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3、合同为固定总价合同，不受市场价变化的影响。</w:t>
      </w:r>
    </w:p>
    <w:p w14:paraId="1D8376A6">
      <w:pPr>
        <w:adjustRightInd w:val="0"/>
        <w:snapToGrid w:val="0"/>
        <w:spacing w:line="360" w:lineRule="auto"/>
        <w:ind w:firstLine="480" w:firstLineChars="200"/>
        <w:rPr>
          <w:rFonts w:ascii="仿宋" w:hAnsi="仿宋" w:eastAsia="仿宋" w:cs="仿宋"/>
          <w:color w:val="auto"/>
          <w:sz w:val="24"/>
          <w:highlight w:val="none"/>
        </w:rPr>
      </w:pPr>
      <w:bookmarkStart w:id="2" w:name="_Toc19515386"/>
      <w:r>
        <w:rPr>
          <w:rFonts w:hint="eastAsia" w:ascii="仿宋" w:hAnsi="仿宋" w:eastAsia="仿宋" w:cs="仿宋"/>
          <w:color w:val="auto"/>
          <w:sz w:val="24"/>
          <w:highlight w:val="none"/>
        </w:rPr>
        <w:t>三、合同结算</w:t>
      </w:r>
      <w:bookmarkEnd w:id="2"/>
    </w:p>
    <w:p w14:paraId="57315B5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结算方式：银行转账。</w:t>
      </w:r>
    </w:p>
    <w:p w14:paraId="6B932C21">
      <w:pPr>
        <w:numPr>
          <w:ilvl w:val="0"/>
          <w:numId w:val="0"/>
        </w:numPr>
        <w:adjustRightInd w:val="0"/>
        <w:snapToGrid w:val="0"/>
        <w:spacing w:line="360" w:lineRule="auto"/>
        <w:ind w:firstLine="420" w:firstLineChars="200"/>
        <w:rPr>
          <w:rFonts w:hint="eastAsia" w:ascii="仿宋_GB2312" w:hAnsi="仿宋_GB2312" w:eastAsia="仿宋_GB2312" w:cs="仿宋_GB2312"/>
          <w:color w:val="auto"/>
          <w:highlight w:val="none"/>
          <w:lang w:eastAsia="zh-CN"/>
        </w:rPr>
      </w:pPr>
      <w:bookmarkStart w:id="3" w:name="_Toc19515387"/>
      <w:r>
        <w:rPr>
          <w:rFonts w:ascii="仿宋_GB2312" w:hAnsi="仿宋_GB2312" w:eastAsia="仿宋_GB2312" w:cs="仿宋_GB2312"/>
          <w:color w:val="auto"/>
          <w:highlight w:val="none"/>
        </w:rPr>
        <w:t xml:space="preserve">付款条件说明： </w:t>
      </w:r>
      <w:r>
        <w:rPr>
          <w:rFonts w:hint="eastAsia" w:ascii="仿宋_GB2312" w:hAnsi="仿宋_GB2312" w:eastAsia="仿宋_GB2312" w:cs="仿宋_GB2312"/>
          <w:color w:val="auto"/>
          <w:highlight w:val="none"/>
          <w:u w:val="single"/>
          <w:lang w:val="en-US" w:eastAsia="zh-CN"/>
        </w:rPr>
        <w:t xml:space="preserve"> 合同签订后，支付合同价款的50%</w:t>
      </w:r>
      <w:r>
        <w:rPr>
          <w:rFonts w:ascii="仿宋_GB2312" w:hAnsi="仿宋_GB2312" w:eastAsia="仿宋_GB2312" w:cs="仿宋_GB2312"/>
          <w:color w:val="auto"/>
          <w:highlight w:val="none"/>
        </w:rPr>
        <w:t>，达到付款条件起</w:t>
      </w:r>
      <w:r>
        <w:rPr>
          <w:rFonts w:hint="eastAsia" w:ascii="仿宋_GB2312" w:hAnsi="仿宋_GB2312" w:eastAsia="仿宋_GB2312" w:cs="仿宋_GB2312"/>
          <w:color w:val="auto"/>
          <w:highlight w:val="none"/>
          <w:u w:val="single"/>
          <w:lang w:val="en-US" w:eastAsia="zh-CN"/>
        </w:rPr>
        <w:t xml:space="preserve"> 30 </w:t>
      </w:r>
      <w:r>
        <w:rPr>
          <w:rFonts w:ascii="仿宋_GB2312" w:hAnsi="仿宋_GB2312" w:eastAsia="仿宋_GB2312" w:cs="仿宋_GB2312"/>
          <w:color w:val="auto"/>
          <w:highlight w:val="none"/>
        </w:rPr>
        <w:t>日内，支付合同总金额的</w:t>
      </w:r>
      <w:r>
        <w:rPr>
          <w:rFonts w:hint="eastAsia" w:ascii="仿宋_GB2312" w:hAnsi="仿宋_GB2312" w:eastAsia="仿宋_GB2312" w:cs="仿宋_GB2312"/>
          <w:color w:val="auto"/>
          <w:highlight w:val="none"/>
          <w:u w:val="single"/>
          <w:lang w:val="en-US" w:eastAsia="zh-CN"/>
        </w:rPr>
        <w:t>50</w:t>
      </w:r>
      <w:r>
        <w:rPr>
          <w:rFonts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eastAsia="zh-CN"/>
        </w:rPr>
        <w:t>。</w:t>
      </w:r>
    </w:p>
    <w:p w14:paraId="701D08D1">
      <w:pPr>
        <w:numPr>
          <w:ilvl w:val="0"/>
          <w:numId w:val="0"/>
        </w:num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合同履行期</w:t>
      </w:r>
      <w:bookmarkEnd w:id="3"/>
      <w:bookmarkStart w:id="4" w:name="_Toc19515390"/>
      <w:r>
        <w:rPr>
          <w:rFonts w:hint="eastAsia" w:ascii="仿宋" w:hAnsi="仿宋" w:eastAsia="仿宋" w:cs="仿宋"/>
          <w:color w:val="auto"/>
          <w:sz w:val="24"/>
          <w:highlight w:val="none"/>
        </w:rPr>
        <w:t>：</w:t>
      </w:r>
      <w:r>
        <w:rPr>
          <w:rFonts w:hint="eastAsia" w:ascii="仿宋_GB2312" w:hAnsi="仿宋_GB2312" w:eastAsia="仿宋_GB2312" w:cs="仿宋_GB2312"/>
          <w:bCs/>
          <w:color w:val="auto"/>
          <w:sz w:val="24"/>
          <w:highlight w:val="none"/>
        </w:rPr>
        <w:t>1年期</w:t>
      </w:r>
    </w:p>
    <w:p w14:paraId="4A689DB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五、技术服务</w:t>
      </w:r>
      <w:bookmarkEnd w:id="4"/>
    </w:p>
    <w:p w14:paraId="2CF1F53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1、对技术服务的要求：</w:t>
      </w:r>
    </w:p>
    <w:p w14:paraId="27CE042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2、技术资料：</w:t>
      </w:r>
    </w:p>
    <w:p w14:paraId="3FFE570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3、技术培训：</w:t>
      </w:r>
    </w:p>
    <w:p w14:paraId="3E2EFBC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3-1、培训内容：</w:t>
      </w:r>
    </w:p>
    <w:p w14:paraId="6471B45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3-2、培训地点：</w:t>
      </w:r>
    </w:p>
    <w:p w14:paraId="7BBC3AF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3-3、培训时间：</w:t>
      </w:r>
    </w:p>
    <w:p w14:paraId="36FDF71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3-4、培训人数：</w:t>
      </w:r>
    </w:p>
    <w:p w14:paraId="24220A8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3-5、培训费用：受训人员的食宿费、资料费、培训场地费、耗材（包括水电费等）费等已包含在合同总价中，甲方不再另行支付。</w:t>
      </w:r>
    </w:p>
    <w:p w14:paraId="5417245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4、售后服务</w:t>
      </w:r>
    </w:p>
    <w:p w14:paraId="3742D34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4-1、乙方在接到甲方电话通知后在</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小时内派出合格的服务人员到达现场进行服务，承担相应费用。</w:t>
      </w:r>
    </w:p>
    <w:p w14:paraId="159758F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4-2、如果乙方在收到通知后两天内没有弥补缺陷，甲方可采取必要的补救措施，但其风险和费用将由乙方承担，甲方根据合同规定对乙方行使的其它权力不受影响。</w:t>
      </w:r>
    </w:p>
    <w:p w14:paraId="605CAABA">
      <w:pPr>
        <w:adjustRightInd w:val="0"/>
        <w:snapToGrid w:val="0"/>
        <w:spacing w:line="360" w:lineRule="auto"/>
        <w:ind w:firstLine="480" w:firstLineChars="200"/>
        <w:rPr>
          <w:rFonts w:ascii="仿宋" w:hAnsi="仿宋" w:eastAsia="仿宋" w:cs="仿宋"/>
          <w:color w:val="auto"/>
          <w:sz w:val="24"/>
          <w:highlight w:val="none"/>
        </w:rPr>
      </w:pPr>
      <w:bookmarkStart w:id="5" w:name="_Toc19515392"/>
      <w:r>
        <w:rPr>
          <w:rFonts w:hint="eastAsia" w:ascii="仿宋" w:hAnsi="仿宋" w:eastAsia="仿宋" w:cs="仿宋"/>
          <w:color w:val="auto"/>
          <w:sz w:val="24"/>
          <w:highlight w:val="none"/>
        </w:rPr>
        <w:t>六、违约责任</w:t>
      </w:r>
      <w:bookmarkEnd w:id="5"/>
    </w:p>
    <w:p w14:paraId="7A411899">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1、按《中华人民共和国民法典》中的相关条款执行。</w:t>
      </w:r>
    </w:p>
    <w:p w14:paraId="67A5D16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2、乙方履约延误</w:t>
      </w:r>
    </w:p>
    <w:p w14:paraId="763833B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2-1、如乙方事先未征得甲方同意并得到甲方的谅解而单方面延迟执行合同，将按违约终止合同。</w:t>
      </w:r>
    </w:p>
    <w:p w14:paraId="4BF7A73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9C9F16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3、违约终止合同：未按合同要求提供服务或不能满足技术要求，甲方会同监督机构有权终止合同，对乙方违约行为进行追究，同时按政府采购法的有关规定进行相应的处罚。</w:t>
      </w:r>
    </w:p>
    <w:p w14:paraId="44F0F5B9">
      <w:pPr>
        <w:adjustRightInd w:val="0"/>
        <w:snapToGrid w:val="0"/>
        <w:spacing w:line="360" w:lineRule="auto"/>
        <w:ind w:firstLine="480" w:firstLineChars="200"/>
        <w:rPr>
          <w:rFonts w:ascii="仿宋" w:hAnsi="仿宋" w:eastAsia="仿宋" w:cs="仿宋"/>
          <w:color w:val="auto"/>
          <w:sz w:val="24"/>
          <w:highlight w:val="none"/>
        </w:rPr>
      </w:pPr>
      <w:bookmarkStart w:id="6" w:name="_Toc19515393"/>
      <w:r>
        <w:rPr>
          <w:rFonts w:hint="eastAsia" w:ascii="仿宋" w:hAnsi="仿宋" w:eastAsia="仿宋" w:cs="仿宋"/>
          <w:color w:val="auto"/>
          <w:sz w:val="24"/>
          <w:highlight w:val="none"/>
        </w:rPr>
        <w:t>七、合同组成</w:t>
      </w:r>
      <w:bookmarkEnd w:id="6"/>
    </w:p>
    <w:p w14:paraId="2A08043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1、成交通知书</w:t>
      </w:r>
    </w:p>
    <w:p w14:paraId="415ABA1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2、合同文件</w:t>
      </w:r>
    </w:p>
    <w:p w14:paraId="423F51B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3、国家相关规范及标准</w:t>
      </w:r>
    </w:p>
    <w:p w14:paraId="08F32C9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4、竞争性磋商文件</w:t>
      </w:r>
    </w:p>
    <w:p w14:paraId="7F66D45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5、成交供应商的响应文件</w:t>
      </w:r>
    </w:p>
    <w:p w14:paraId="5CA7CAE7">
      <w:pPr>
        <w:adjustRightInd w:val="0"/>
        <w:snapToGrid w:val="0"/>
        <w:spacing w:line="360" w:lineRule="auto"/>
        <w:ind w:firstLine="480" w:firstLineChars="200"/>
        <w:rPr>
          <w:rFonts w:ascii="仿宋" w:hAnsi="仿宋" w:eastAsia="仿宋" w:cs="仿宋"/>
          <w:color w:val="auto"/>
          <w:sz w:val="24"/>
          <w:highlight w:val="none"/>
        </w:rPr>
      </w:pPr>
      <w:bookmarkStart w:id="7" w:name="_Toc19515394"/>
      <w:r>
        <w:rPr>
          <w:rFonts w:hint="eastAsia" w:ascii="仿宋" w:hAnsi="仿宋" w:eastAsia="仿宋" w:cs="仿宋"/>
          <w:color w:val="auto"/>
          <w:sz w:val="24"/>
          <w:highlight w:val="none"/>
        </w:rPr>
        <w:t>八、解决争议的方法</w:t>
      </w:r>
      <w:bookmarkEnd w:id="7"/>
    </w:p>
    <w:p w14:paraId="276ACA95">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凡因本合同引起的或与本合同有关的争议，双方应友好协商解决。协商不成时，双方均同意采用以下第（  ）种争议解决方式：</w:t>
      </w:r>
    </w:p>
    <w:p w14:paraId="2578DE9F">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1、甲、乙双方均同意向（甲方所在地人民法院）提起诉讼。</w:t>
      </w:r>
    </w:p>
    <w:p w14:paraId="1CA00EDF">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2、甲、乙双方均同意向（</w:t>
      </w:r>
      <w:r>
        <w:rPr>
          <w:color w:val="auto"/>
          <w:highlight w:val="none"/>
        </w:rPr>
        <w:fldChar w:fldCharType="begin"/>
      </w:r>
      <w:r>
        <w:rPr>
          <w:color w:val="auto"/>
          <w:highlight w:val="none"/>
        </w:rPr>
        <w:instrText xml:space="preserve"> HYPERLINK "http://www.baidu.com/s?wd=%E4%BB%B2%E8%A3%81%E5%A7%94%E5%91%98%E4%BC%9A&amp;tn=SE_PcZhidaonwhc_ngpagmjz&amp;rsv_dl=gh_pc_zhidao" \t "_blank" </w:instrText>
      </w:r>
      <w:r>
        <w:rPr>
          <w:color w:val="auto"/>
          <w:highlight w:val="none"/>
        </w:rPr>
        <w:fldChar w:fldCharType="separate"/>
      </w:r>
      <w:r>
        <w:rPr>
          <w:rFonts w:hint="eastAsia" w:ascii="仿宋" w:hAnsi="仿宋" w:eastAsia="仿宋" w:cs="仿宋"/>
          <w:color w:val="auto"/>
          <w:kern w:val="0"/>
          <w:sz w:val="24"/>
          <w:highlight w:val="none"/>
        </w:rPr>
        <w:t>仲裁委员会</w:t>
      </w:r>
      <w:r>
        <w:rPr>
          <w:rFonts w:hint="eastAsia" w:ascii="仿宋" w:hAnsi="仿宋" w:eastAsia="仿宋" w:cs="仿宋"/>
          <w:color w:val="auto"/>
          <w:kern w:val="0"/>
          <w:sz w:val="24"/>
          <w:highlight w:val="none"/>
        </w:rPr>
        <w:fldChar w:fldCharType="end"/>
      </w:r>
      <w:r>
        <w:rPr>
          <w:rFonts w:hint="eastAsia" w:ascii="仿宋" w:hAnsi="仿宋" w:eastAsia="仿宋" w:cs="仿宋"/>
          <w:color w:val="auto"/>
          <w:kern w:val="0"/>
          <w:sz w:val="24"/>
          <w:highlight w:val="none"/>
        </w:rPr>
        <w:t>）提起仲裁。</w:t>
      </w:r>
    </w:p>
    <w:p w14:paraId="4A17751D">
      <w:pPr>
        <w:adjustRightInd w:val="0"/>
        <w:snapToGrid w:val="0"/>
        <w:spacing w:line="360" w:lineRule="auto"/>
        <w:ind w:firstLine="480" w:firstLineChars="200"/>
        <w:rPr>
          <w:rFonts w:ascii="仿宋" w:hAnsi="仿宋" w:eastAsia="仿宋" w:cs="仿宋"/>
          <w:color w:val="auto"/>
          <w:sz w:val="24"/>
          <w:highlight w:val="none"/>
        </w:rPr>
      </w:pPr>
      <w:bookmarkStart w:id="8" w:name="_Toc19515395"/>
      <w:r>
        <w:rPr>
          <w:rFonts w:hint="eastAsia" w:ascii="仿宋" w:hAnsi="仿宋" w:eastAsia="仿宋" w:cs="仿宋"/>
          <w:color w:val="auto"/>
          <w:sz w:val="24"/>
          <w:highlight w:val="none"/>
        </w:rPr>
        <w:t>十、合同生效及其它</w:t>
      </w:r>
      <w:bookmarkEnd w:id="8"/>
    </w:p>
    <w:p w14:paraId="6E80F095">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1、合同未尽事宜、由甲、乙双方协商，作为合同补充，与原合同具有同等法律效力。</w:t>
      </w:r>
    </w:p>
    <w:p w14:paraId="172B31DE">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2、 本合同正本一式份，甲方、乙方双方分别执份，备案份。</w:t>
      </w:r>
    </w:p>
    <w:p w14:paraId="48162B4E">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3、合同经甲乙双方盖章、签字后生效，合同签订地点为。</w:t>
      </w:r>
    </w:p>
    <w:p w14:paraId="51F075F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4、生效时间：年月日</w:t>
      </w:r>
    </w:p>
    <w:p w14:paraId="1671DF0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5、合同签订时另附安全协议作为合同一部分，与正式合同具有相同法律效应。</w:t>
      </w:r>
    </w:p>
    <w:p w14:paraId="37FF3D7A">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p>
    <w:tbl>
      <w:tblPr>
        <w:tblStyle w:val="3"/>
        <w:tblW w:w="0" w:type="auto"/>
        <w:jc w:val="center"/>
        <w:tblLayout w:type="fixed"/>
        <w:tblCellMar>
          <w:top w:w="0" w:type="dxa"/>
          <w:left w:w="108" w:type="dxa"/>
          <w:bottom w:w="0" w:type="dxa"/>
          <w:right w:w="108" w:type="dxa"/>
        </w:tblCellMar>
      </w:tblPr>
      <w:tblGrid>
        <w:gridCol w:w="4643"/>
        <w:gridCol w:w="4643"/>
      </w:tblGrid>
      <w:tr w14:paraId="231D553B">
        <w:trPr>
          <w:jc w:val="center"/>
        </w:trPr>
        <w:tc>
          <w:tcPr>
            <w:tcW w:w="4643" w:type="dxa"/>
          </w:tcPr>
          <w:p w14:paraId="446BE024">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甲方（盖章）：</w:t>
            </w:r>
          </w:p>
          <w:p w14:paraId="4C274646">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5B601E31">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7FE4F8C8">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经办人（签字）：</w:t>
            </w:r>
          </w:p>
          <w:p w14:paraId="2200BEE4">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4DB330AF">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3C085A8F">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c>
          <w:tcPr>
            <w:tcW w:w="4643" w:type="dxa"/>
          </w:tcPr>
          <w:p w14:paraId="43262792">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乙方（盖章）：</w:t>
            </w:r>
          </w:p>
          <w:p w14:paraId="5A86CC83">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6DB21CEB">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23FC519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p>
          <w:p w14:paraId="44B76129">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709638A8">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577B7DBF">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r>
    </w:tbl>
    <w:p w14:paraId="0402902A">
      <w:pPr>
        <w:pStyle w:val="2"/>
        <w:spacing w:line="360" w:lineRule="auto"/>
        <w:rPr>
          <w:rStyle w:val="5"/>
          <w:rFonts w:ascii="Times New Roman" w:hAnsi="Times New Roman" w:eastAsia="宋体"/>
          <w:color w:val="auto"/>
          <w:sz w:val="36"/>
          <w:szCs w:val="36"/>
          <w:highlight w:val="none"/>
        </w:rPr>
      </w:pPr>
    </w:p>
    <w:p w14:paraId="1402C905">
      <w:pPr>
        <w:spacing w:line="360" w:lineRule="auto"/>
        <w:ind w:firstLine="480" w:firstLineChars="200"/>
        <w:rPr>
          <w:rFonts w:eastAsia="仿宋_GB2312"/>
          <w:color w:val="auto"/>
          <w:sz w:val="24"/>
          <w:highlight w:val="none"/>
        </w:rPr>
      </w:pPr>
    </w:p>
    <w:p w14:paraId="0B053206">
      <w:pPr>
        <w:spacing w:line="360" w:lineRule="auto"/>
        <w:ind w:firstLine="480" w:firstLineChars="200"/>
        <w:rPr>
          <w:rFonts w:eastAsia="仿宋_GB2312"/>
          <w:color w:val="auto"/>
          <w:sz w:val="24"/>
          <w:highlight w:val="none"/>
        </w:rPr>
      </w:pPr>
    </w:p>
    <w:p w14:paraId="4108A920">
      <w:pPr>
        <w:spacing w:line="360" w:lineRule="auto"/>
        <w:ind w:firstLine="480" w:firstLineChars="200"/>
        <w:rPr>
          <w:rFonts w:eastAsia="仿宋_GB2312"/>
          <w:color w:val="auto"/>
          <w:sz w:val="24"/>
          <w:highlight w:val="none"/>
        </w:rPr>
      </w:pPr>
    </w:p>
    <w:p w14:paraId="13E57285">
      <w:pPr>
        <w:spacing w:line="360" w:lineRule="auto"/>
        <w:ind w:firstLine="480" w:firstLineChars="200"/>
        <w:rPr>
          <w:rFonts w:eastAsia="仿宋_GB2312"/>
          <w:color w:val="auto"/>
          <w:sz w:val="24"/>
          <w:highlight w:val="none"/>
        </w:rPr>
      </w:pPr>
    </w:p>
    <w:p w14:paraId="2735821C">
      <w:pPr>
        <w:spacing w:line="360" w:lineRule="auto"/>
        <w:ind w:firstLine="480" w:firstLineChars="200"/>
        <w:rPr>
          <w:rFonts w:eastAsia="仿宋_GB2312"/>
          <w:color w:val="auto"/>
          <w:sz w:val="24"/>
          <w:highlight w:val="none"/>
        </w:rPr>
      </w:pPr>
    </w:p>
    <w:p w14:paraId="24DE0BF8">
      <w:pPr>
        <w:spacing w:line="360" w:lineRule="auto"/>
        <w:ind w:firstLine="480" w:firstLineChars="200"/>
        <w:rPr>
          <w:rFonts w:eastAsia="仿宋_GB2312"/>
          <w:color w:val="auto"/>
          <w:sz w:val="24"/>
          <w:highlight w:val="none"/>
        </w:rPr>
      </w:pPr>
    </w:p>
    <w:p w14:paraId="78B59CD2">
      <w:pPr>
        <w:spacing w:line="360" w:lineRule="auto"/>
        <w:ind w:firstLine="480" w:firstLineChars="200"/>
        <w:rPr>
          <w:rFonts w:eastAsia="仿宋_GB2312"/>
          <w:color w:val="auto"/>
          <w:sz w:val="24"/>
          <w:highlight w:val="none"/>
        </w:rPr>
      </w:pPr>
    </w:p>
    <w:p w14:paraId="21D34425">
      <w:pPr>
        <w:rPr>
          <w:rFonts w:eastAsia="仿宋_GB2312"/>
          <w:color w:val="auto"/>
          <w:sz w:val="24"/>
          <w:highlight w:val="none"/>
        </w:rPr>
      </w:pPr>
      <w:r>
        <w:rPr>
          <w:rFonts w:eastAsia="仿宋_GB2312"/>
          <w:color w:val="auto"/>
          <w:sz w:val="24"/>
          <w:highlight w:val="none"/>
        </w:rPr>
        <w:br w:type="page"/>
      </w:r>
    </w:p>
    <w:p w14:paraId="2C8F6AA3">
      <w:pPr>
        <w:spacing w:line="360" w:lineRule="auto"/>
        <w:rPr>
          <w:rFonts w:eastAsia="仿宋_GB2312"/>
          <w:color w:val="auto"/>
          <w:sz w:val="24"/>
          <w:highlight w:val="none"/>
        </w:rPr>
      </w:pPr>
      <w:r>
        <w:rPr>
          <w:rFonts w:eastAsia="仿宋_GB2312"/>
          <w:color w:val="auto"/>
          <w:sz w:val="24"/>
          <w:highlight w:val="none"/>
        </w:rPr>
        <w:t>合同附件1：</w:t>
      </w:r>
    </w:p>
    <w:tbl>
      <w:tblPr>
        <w:tblStyle w:val="3"/>
        <w:tblW w:w="5000" w:type="pct"/>
        <w:tblInd w:w="0" w:type="dxa"/>
        <w:tblLayout w:type="autofit"/>
        <w:tblCellMar>
          <w:top w:w="0" w:type="dxa"/>
          <w:left w:w="108" w:type="dxa"/>
          <w:bottom w:w="0" w:type="dxa"/>
          <w:right w:w="108" w:type="dxa"/>
        </w:tblCellMar>
      </w:tblPr>
      <w:tblGrid>
        <w:gridCol w:w="1571"/>
        <w:gridCol w:w="2299"/>
        <w:gridCol w:w="2524"/>
        <w:gridCol w:w="2128"/>
      </w:tblGrid>
      <w:tr w14:paraId="04CFF343">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1AA95611">
            <w:pPr>
              <w:widowControl/>
              <w:jc w:val="center"/>
              <w:rPr>
                <w:rFonts w:eastAsia="仿宋_GB2312"/>
                <w:b/>
                <w:bCs/>
                <w:color w:val="auto"/>
                <w:kern w:val="0"/>
                <w:sz w:val="32"/>
                <w:szCs w:val="32"/>
                <w:highlight w:val="none"/>
              </w:rPr>
            </w:pPr>
            <w:r>
              <w:rPr>
                <w:rFonts w:eastAsia="仿宋_GB2312"/>
                <w:b/>
                <w:bCs/>
                <w:color w:val="auto"/>
                <w:kern w:val="0"/>
                <w:sz w:val="32"/>
                <w:szCs w:val="32"/>
                <w:highlight w:val="none"/>
              </w:rPr>
              <w:t>政府采购项目货物（服务）验收入库报告单</w:t>
            </w:r>
          </w:p>
        </w:tc>
      </w:tr>
      <w:tr w14:paraId="3900459F">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090E730">
            <w:pPr>
              <w:widowControl/>
              <w:jc w:val="center"/>
              <w:rPr>
                <w:rFonts w:eastAsia="仿宋_GB2312"/>
                <w:b/>
                <w:bCs/>
                <w:color w:val="auto"/>
                <w:kern w:val="0"/>
                <w:sz w:val="24"/>
                <w:highlight w:val="none"/>
              </w:rPr>
            </w:pPr>
            <w:r>
              <w:rPr>
                <w:rFonts w:eastAsia="仿宋_GB2312"/>
                <w:b/>
                <w:bCs/>
                <w:color w:val="auto"/>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77D6CAFB">
            <w:pPr>
              <w:widowControl/>
              <w:jc w:val="center"/>
              <w:rPr>
                <w:rFonts w:eastAsia="仿宋_GB2312"/>
                <w:color w:val="auto"/>
                <w:kern w:val="0"/>
                <w:sz w:val="24"/>
                <w:highlight w:val="none"/>
              </w:rPr>
            </w:pPr>
            <w:r>
              <w:rPr>
                <w:rFonts w:eastAsia="仿宋_GB2312"/>
                <w:color w:val="auto"/>
                <w:kern w:val="0"/>
                <w:sz w:val="24"/>
                <w:highlight w:val="none"/>
              </w:rPr>
              <w:t>　</w:t>
            </w:r>
          </w:p>
        </w:tc>
      </w:tr>
      <w:tr w14:paraId="363890B5">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FDBF000">
            <w:pPr>
              <w:widowControl/>
              <w:jc w:val="center"/>
              <w:rPr>
                <w:rFonts w:eastAsia="仿宋_GB2312"/>
                <w:b/>
                <w:bCs/>
                <w:color w:val="auto"/>
                <w:kern w:val="0"/>
                <w:sz w:val="24"/>
                <w:highlight w:val="none"/>
              </w:rPr>
            </w:pPr>
            <w:r>
              <w:rPr>
                <w:rFonts w:eastAsia="仿宋_GB2312"/>
                <w:b/>
                <w:bCs/>
                <w:color w:val="auto"/>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632D1713">
            <w:pPr>
              <w:widowControl/>
              <w:jc w:val="center"/>
              <w:rPr>
                <w:rFonts w:eastAsia="仿宋_GB2312"/>
                <w:color w:val="auto"/>
                <w:kern w:val="0"/>
                <w:sz w:val="24"/>
                <w:highlight w:val="none"/>
              </w:rPr>
            </w:pPr>
            <w:r>
              <w:rPr>
                <w:rFonts w:eastAsia="仿宋_GB2312"/>
                <w:color w:val="auto"/>
                <w:kern w:val="0"/>
                <w:sz w:val="24"/>
                <w:highlight w:val="none"/>
              </w:rPr>
              <w:t>　</w:t>
            </w:r>
          </w:p>
        </w:tc>
      </w:tr>
      <w:tr w14:paraId="0AA9070F">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7072D649">
            <w:pPr>
              <w:widowControl/>
              <w:jc w:val="center"/>
              <w:rPr>
                <w:rFonts w:eastAsia="仿宋_GB2312"/>
                <w:b/>
                <w:bCs/>
                <w:color w:val="auto"/>
                <w:kern w:val="0"/>
                <w:sz w:val="24"/>
                <w:highlight w:val="none"/>
              </w:rPr>
            </w:pPr>
            <w:r>
              <w:rPr>
                <w:rFonts w:eastAsia="仿宋_GB2312"/>
                <w:b/>
                <w:bCs/>
                <w:color w:val="auto"/>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4BAD9952">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2DEF102F">
            <w:pPr>
              <w:widowControl/>
              <w:jc w:val="center"/>
              <w:rPr>
                <w:rFonts w:eastAsia="仿宋_GB2312"/>
                <w:b/>
                <w:bCs/>
                <w:color w:val="auto"/>
                <w:kern w:val="0"/>
                <w:sz w:val="24"/>
                <w:highlight w:val="none"/>
              </w:rPr>
            </w:pPr>
            <w:r>
              <w:rPr>
                <w:rFonts w:eastAsia="仿宋_GB2312"/>
                <w:b/>
                <w:bCs/>
                <w:color w:val="auto"/>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15570BE3">
            <w:pPr>
              <w:widowControl/>
              <w:jc w:val="left"/>
              <w:rPr>
                <w:rFonts w:eastAsia="仿宋_GB2312"/>
                <w:b/>
                <w:bCs/>
                <w:color w:val="auto"/>
                <w:kern w:val="0"/>
                <w:sz w:val="24"/>
                <w:highlight w:val="none"/>
              </w:rPr>
            </w:pPr>
            <w:r>
              <w:rPr>
                <w:rFonts w:eastAsia="仿宋_GB2312"/>
                <w:b/>
                <w:bCs/>
                <w:color w:val="auto"/>
                <w:kern w:val="0"/>
                <w:sz w:val="24"/>
                <w:highlight w:val="none"/>
              </w:rPr>
              <w:t>¥:</w:t>
            </w:r>
          </w:p>
        </w:tc>
      </w:tr>
      <w:tr w14:paraId="44E3DC93">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74E4C989">
            <w:pPr>
              <w:widowControl/>
              <w:jc w:val="left"/>
              <w:rPr>
                <w:rFonts w:eastAsia="仿宋_GB2312"/>
                <w:b/>
                <w:bCs/>
                <w:color w:val="auto"/>
                <w:kern w:val="0"/>
                <w:sz w:val="24"/>
                <w:highlight w:val="none"/>
              </w:rPr>
            </w:pPr>
          </w:p>
        </w:tc>
        <w:tc>
          <w:tcPr>
            <w:tcW w:w="1349" w:type="pct"/>
            <w:vMerge w:val="continue"/>
            <w:tcBorders>
              <w:top w:val="nil"/>
              <w:left w:val="single" w:color="auto" w:sz="4" w:space="0"/>
              <w:bottom w:val="single" w:color="auto" w:sz="4" w:space="0"/>
              <w:right w:val="single" w:color="auto" w:sz="4" w:space="0"/>
            </w:tcBorders>
            <w:vAlign w:val="center"/>
          </w:tcPr>
          <w:p w14:paraId="27A38DC4">
            <w:pPr>
              <w:widowControl/>
              <w:jc w:val="left"/>
              <w:rPr>
                <w:rFonts w:eastAsia="仿宋_GB2312"/>
                <w:color w:val="auto"/>
                <w:kern w:val="0"/>
                <w:sz w:val="24"/>
                <w:highlight w:val="none"/>
              </w:rPr>
            </w:pPr>
          </w:p>
        </w:tc>
        <w:tc>
          <w:tcPr>
            <w:tcW w:w="1481" w:type="pct"/>
            <w:tcBorders>
              <w:top w:val="nil"/>
              <w:left w:val="nil"/>
              <w:bottom w:val="single" w:color="auto" w:sz="4" w:space="0"/>
              <w:right w:val="single" w:color="auto" w:sz="4" w:space="0"/>
            </w:tcBorders>
            <w:noWrap/>
            <w:vAlign w:val="center"/>
          </w:tcPr>
          <w:p w14:paraId="4CCFBA3E">
            <w:pPr>
              <w:widowControl/>
              <w:jc w:val="center"/>
              <w:rPr>
                <w:rFonts w:eastAsia="仿宋_GB2312"/>
                <w:b/>
                <w:bCs/>
                <w:color w:val="auto"/>
                <w:kern w:val="0"/>
                <w:sz w:val="24"/>
                <w:highlight w:val="none"/>
              </w:rPr>
            </w:pPr>
            <w:r>
              <w:rPr>
                <w:rFonts w:eastAsia="仿宋_GB2312"/>
                <w:b/>
                <w:bCs/>
                <w:color w:val="auto"/>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3D2794D0">
            <w:pPr>
              <w:widowControl/>
              <w:jc w:val="center"/>
              <w:rPr>
                <w:rFonts w:eastAsia="仿宋_GB2312"/>
                <w:color w:val="auto"/>
                <w:kern w:val="0"/>
                <w:sz w:val="24"/>
                <w:highlight w:val="none"/>
              </w:rPr>
            </w:pPr>
            <w:r>
              <w:rPr>
                <w:rFonts w:eastAsia="仿宋_GB2312"/>
                <w:color w:val="auto"/>
                <w:kern w:val="0"/>
                <w:sz w:val="24"/>
                <w:highlight w:val="none"/>
              </w:rPr>
              <w:t>　</w:t>
            </w:r>
          </w:p>
        </w:tc>
      </w:tr>
      <w:tr w14:paraId="089B645D">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36A727B">
            <w:pPr>
              <w:widowControl/>
              <w:jc w:val="center"/>
              <w:rPr>
                <w:rFonts w:eastAsia="仿宋_GB2312"/>
                <w:b/>
                <w:bCs/>
                <w:color w:val="auto"/>
                <w:kern w:val="0"/>
                <w:sz w:val="24"/>
                <w:highlight w:val="none"/>
              </w:rPr>
            </w:pPr>
            <w:r>
              <w:rPr>
                <w:rFonts w:eastAsia="仿宋_GB2312"/>
                <w:b/>
                <w:bCs/>
                <w:color w:val="auto"/>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635E8599">
            <w:pPr>
              <w:widowControl/>
              <w:jc w:val="center"/>
              <w:rPr>
                <w:rFonts w:eastAsia="仿宋_GB2312"/>
                <w:color w:val="auto"/>
                <w:kern w:val="0"/>
                <w:sz w:val="24"/>
                <w:highlight w:val="none"/>
              </w:rPr>
            </w:pPr>
            <w:r>
              <w:rPr>
                <w:rFonts w:eastAsia="仿宋_GB2312"/>
                <w:color w:val="auto"/>
                <w:kern w:val="0"/>
                <w:sz w:val="24"/>
                <w:highlight w:val="none"/>
              </w:rPr>
              <w:t>　</w:t>
            </w:r>
          </w:p>
        </w:tc>
      </w:tr>
      <w:tr w14:paraId="6CCF8003">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2D1200C7">
            <w:pPr>
              <w:widowControl/>
              <w:jc w:val="center"/>
              <w:rPr>
                <w:rFonts w:eastAsia="仿宋_GB2312"/>
                <w:b/>
                <w:bCs/>
                <w:color w:val="auto"/>
                <w:kern w:val="0"/>
                <w:sz w:val="24"/>
                <w:highlight w:val="none"/>
              </w:rPr>
            </w:pPr>
            <w:r>
              <w:rPr>
                <w:rFonts w:eastAsia="仿宋_GB2312"/>
                <w:b/>
                <w:bCs/>
                <w:color w:val="auto"/>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77440E04">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1CEA84EC">
            <w:pPr>
              <w:widowControl/>
              <w:jc w:val="center"/>
              <w:rPr>
                <w:rFonts w:eastAsia="仿宋_GB2312"/>
                <w:b/>
                <w:bCs/>
                <w:color w:val="auto"/>
                <w:kern w:val="0"/>
                <w:sz w:val="24"/>
                <w:highlight w:val="none"/>
              </w:rPr>
            </w:pPr>
            <w:r>
              <w:rPr>
                <w:rFonts w:eastAsia="仿宋_GB2312"/>
                <w:b/>
                <w:bCs/>
                <w:color w:val="auto"/>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6FD3B9D2">
            <w:pPr>
              <w:widowControl/>
              <w:jc w:val="center"/>
              <w:rPr>
                <w:rFonts w:eastAsia="仿宋_GB2312"/>
                <w:color w:val="auto"/>
                <w:kern w:val="0"/>
                <w:sz w:val="24"/>
                <w:highlight w:val="none"/>
              </w:rPr>
            </w:pPr>
            <w:r>
              <w:rPr>
                <w:rFonts w:eastAsia="仿宋_GB2312"/>
                <w:color w:val="auto"/>
                <w:kern w:val="0"/>
                <w:sz w:val="24"/>
                <w:highlight w:val="none"/>
              </w:rPr>
              <w:t>　</w:t>
            </w:r>
          </w:p>
        </w:tc>
      </w:tr>
      <w:tr w14:paraId="3C3B7BB7">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7044A6B5">
            <w:pPr>
              <w:widowControl/>
              <w:jc w:val="center"/>
              <w:rPr>
                <w:rFonts w:eastAsia="仿宋_GB2312"/>
                <w:b/>
                <w:bCs/>
                <w:color w:val="auto"/>
                <w:kern w:val="0"/>
                <w:sz w:val="24"/>
                <w:highlight w:val="none"/>
              </w:rPr>
            </w:pPr>
            <w:r>
              <w:rPr>
                <w:rFonts w:eastAsia="仿宋_GB2312"/>
                <w:b/>
                <w:bCs/>
                <w:color w:val="auto"/>
                <w:kern w:val="0"/>
                <w:sz w:val="24"/>
                <w:highlight w:val="none"/>
              </w:rPr>
              <w:t>联系人</w:t>
            </w:r>
          </w:p>
        </w:tc>
        <w:tc>
          <w:tcPr>
            <w:tcW w:w="1349" w:type="pct"/>
            <w:tcBorders>
              <w:top w:val="nil"/>
              <w:left w:val="nil"/>
              <w:bottom w:val="nil"/>
              <w:right w:val="single" w:color="auto" w:sz="4" w:space="0"/>
            </w:tcBorders>
            <w:noWrap/>
            <w:vAlign w:val="center"/>
          </w:tcPr>
          <w:p w14:paraId="00246CC8">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nil"/>
              <w:right w:val="single" w:color="auto" w:sz="4" w:space="0"/>
            </w:tcBorders>
            <w:noWrap/>
            <w:vAlign w:val="center"/>
          </w:tcPr>
          <w:p w14:paraId="7DCBA04A">
            <w:pPr>
              <w:widowControl/>
              <w:jc w:val="center"/>
              <w:rPr>
                <w:rFonts w:eastAsia="仿宋_GB2312"/>
                <w:b/>
                <w:bCs/>
                <w:color w:val="auto"/>
                <w:kern w:val="0"/>
                <w:sz w:val="24"/>
                <w:highlight w:val="none"/>
              </w:rPr>
            </w:pPr>
            <w:r>
              <w:rPr>
                <w:rFonts w:eastAsia="仿宋_GB2312"/>
                <w:b/>
                <w:bCs/>
                <w:color w:val="auto"/>
                <w:kern w:val="0"/>
                <w:sz w:val="24"/>
                <w:highlight w:val="none"/>
              </w:rPr>
              <w:t>电话</w:t>
            </w:r>
          </w:p>
        </w:tc>
        <w:tc>
          <w:tcPr>
            <w:tcW w:w="1248" w:type="pct"/>
            <w:tcBorders>
              <w:top w:val="nil"/>
              <w:left w:val="nil"/>
              <w:bottom w:val="nil"/>
              <w:right w:val="single" w:color="auto" w:sz="8" w:space="0"/>
            </w:tcBorders>
            <w:noWrap/>
            <w:vAlign w:val="center"/>
          </w:tcPr>
          <w:p w14:paraId="2B6F7AB3">
            <w:pPr>
              <w:widowControl/>
              <w:jc w:val="center"/>
              <w:rPr>
                <w:rFonts w:eastAsia="仿宋_GB2312"/>
                <w:color w:val="auto"/>
                <w:kern w:val="0"/>
                <w:sz w:val="24"/>
                <w:highlight w:val="none"/>
              </w:rPr>
            </w:pPr>
            <w:r>
              <w:rPr>
                <w:rFonts w:eastAsia="仿宋_GB2312"/>
                <w:color w:val="auto"/>
                <w:kern w:val="0"/>
                <w:sz w:val="24"/>
                <w:highlight w:val="none"/>
              </w:rPr>
              <w:t>　</w:t>
            </w:r>
          </w:p>
        </w:tc>
      </w:tr>
      <w:tr w14:paraId="0570D9A3">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301509D4">
            <w:pPr>
              <w:widowControl/>
              <w:jc w:val="left"/>
              <w:rPr>
                <w:rFonts w:eastAsia="仿宋_GB2312"/>
                <w:b/>
                <w:bCs/>
                <w:color w:val="auto"/>
                <w:kern w:val="0"/>
                <w:sz w:val="24"/>
                <w:highlight w:val="none"/>
              </w:rPr>
            </w:pPr>
            <w:r>
              <w:rPr>
                <w:rFonts w:eastAsia="仿宋_GB2312"/>
                <w:b/>
                <w:bCs/>
                <w:color w:val="auto"/>
                <w:kern w:val="0"/>
                <w:sz w:val="24"/>
                <w:highlight w:val="none"/>
              </w:rPr>
              <w:t>供货单位：（盖章）</w:t>
            </w:r>
          </w:p>
        </w:tc>
        <w:tc>
          <w:tcPr>
            <w:tcW w:w="2729" w:type="pct"/>
            <w:gridSpan w:val="2"/>
            <w:tcBorders>
              <w:top w:val="single" w:color="auto" w:sz="4" w:space="0"/>
              <w:left w:val="single" w:color="auto" w:sz="4" w:space="0"/>
              <w:bottom w:val="nil"/>
              <w:right w:val="single" w:color="000000" w:sz="8" w:space="0"/>
            </w:tcBorders>
          </w:tcPr>
          <w:p w14:paraId="27B22A0B">
            <w:pPr>
              <w:widowControl/>
              <w:jc w:val="left"/>
              <w:rPr>
                <w:rFonts w:eastAsia="仿宋_GB2312"/>
                <w:b/>
                <w:bCs/>
                <w:color w:val="auto"/>
                <w:kern w:val="0"/>
                <w:sz w:val="24"/>
                <w:highlight w:val="none"/>
              </w:rPr>
            </w:pPr>
            <w:r>
              <w:rPr>
                <w:rFonts w:eastAsia="仿宋_GB2312"/>
                <w:b/>
                <w:bCs/>
                <w:color w:val="auto"/>
                <w:kern w:val="0"/>
                <w:sz w:val="24"/>
                <w:highlight w:val="none"/>
              </w:rPr>
              <w:t>使用单位验收意见：（盖章）</w:t>
            </w:r>
          </w:p>
          <w:p w14:paraId="06D1C9C4">
            <w:pPr>
              <w:rPr>
                <w:rFonts w:eastAsia="仿宋_GB2312"/>
                <w:color w:val="auto"/>
                <w:sz w:val="24"/>
                <w:highlight w:val="none"/>
              </w:rPr>
            </w:pPr>
          </w:p>
        </w:tc>
      </w:tr>
      <w:tr w14:paraId="1240B34A">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5D5AA554">
            <w:pPr>
              <w:widowControl/>
              <w:jc w:val="center"/>
              <w:rPr>
                <w:rFonts w:eastAsia="仿宋_GB2312"/>
                <w:b/>
                <w:bCs/>
                <w:color w:val="auto"/>
                <w:kern w:val="0"/>
                <w:sz w:val="24"/>
                <w:highlight w:val="none"/>
              </w:rPr>
            </w:pPr>
            <w:r>
              <w:rPr>
                <w:rFonts w:eastAsia="仿宋_GB2312"/>
                <w:b/>
                <w:bCs/>
                <w:color w:val="auto"/>
                <w:kern w:val="0"/>
                <w:sz w:val="24"/>
                <w:highlight w:val="none"/>
              </w:rPr>
              <w:t>签字：</w:t>
            </w:r>
          </w:p>
        </w:tc>
        <w:tc>
          <w:tcPr>
            <w:tcW w:w="1349" w:type="pct"/>
            <w:tcBorders>
              <w:top w:val="nil"/>
              <w:left w:val="nil"/>
              <w:bottom w:val="nil"/>
              <w:right w:val="nil"/>
            </w:tcBorders>
            <w:noWrap/>
            <w:vAlign w:val="center"/>
          </w:tcPr>
          <w:p w14:paraId="120FB48B">
            <w:pPr>
              <w:widowControl/>
              <w:jc w:val="center"/>
              <w:rPr>
                <w:rFonts w:eastAsia="仿宋_GB2312"/>
                <w:b/>
                <w:bCs/>
                <w:color w:val="auto"/>
                <w:kern w:val="0"/>
                <w:sz w:val="24"/>
                <w:highlight w:val="none"/>
              </w:rPr>
            </w:pPr>
          </w:p>
        </w:tc>
        <w:tc>
          <w:tcPr>
            <w:tcW w:w="1481" w:type="pct"/>
            <w:tcBorders>
              <w:top w:val="nil"/>
              <w:left w:val="single" w:color="auto" w:sz="4" w:space="0"/>
              <w:bottom w:val="nil"/>
              <w:right w:val="nil"/>
            </w:tcBorders>
            <w:noWrap/>
            <w:vAlign w:val="center"/>
          </w:tcPr>
          <w:p w14:paraId="64C35A55">
            <w:pPr>
              <w:widowControl/>
              <w:jc w:val="center"/>
              <w:rPr>
                <w:rFonts w:eastAsia="仿宋_GB2312"/>
                <w:b/>
                <w:bCs/>
                <w:color w:val="auto"/>
                <w:kern w:val="0"/>
                <w:sz w:val="24"/>
                <w:highlight w:val="none"/>
              </w:rPr>
            </w:pPr>
            <w:r>
              <w:rPr>
                <w:rFonts w:eastAsia="仿宋_GB2312"/>
                <w:b/>
                <w:bCs/>
                <w:color w:val="auto"/>
                <w:kern w:val="0"/>
                <w:sz w:val="24"/>
                <w:highlight w:val="none"/>
              </w:rPr>
              <w:t>签字：</w:t>
            </w:r>
          </w:p>
        </w:tc>
        <w:tc>
          <w:tcPr>
            <w:tcW w:w="1248" w:type="pct"/>
            <w:tcBorders>
              <w:top w:val="nil"/>
              <w:left w:val="nil"/>
              <w:bottom w:val="nil"/>
              <w:right w:val="single" w:color="auto" w:sz="8" w:space="0"/>
            </w:tcBorders>
          </w:tcPr>
          <w:p w14:paraId="5C73243C">
            <w:pPr>
              <w:widowControl/>
              <w:jc w:val="left"/>
              <w:rPr>
                <w:rFonts w:eastAsia="仿宋_GB2312"/>
                <w:b/>
                <w:bCs/>
                <w:color w:val="auto"/>
                <w:kern w:val="0"/>
                <w:sz w:val="24"/>
                <w:highlight w:val="none"/>
              </w:rPr>
            </w:pPr>
            <w:r>
              <w:rPr>
                <w:rFonts w:eastAsia="仿宋_GB2312"/>
                <w:b/>
                <w:bCs/>
                <w:color w:val="auto"/>
                <w:kern w:val="0"/>
                <w:sz w:val="24"/>
                <w:highlight w:val="none"/>
              </w:rPr>
              <w:t>　</w:t>
            </w:r>
          </w:p>
        </w:tc>
      </w:tr>
      <w:tr w14:paraId="401DEB7A">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4AC6D408">
            <w:pPr>
              <w:widowControl/>
              <w:jc w:val="left"/>
              <w:rPr>
                <w:rFonts w:eastAsia="仿宋_GB2312"/>
                <w:color w:val="auto"/>
                <w:kern w:val="0"/>
                <w:sz w:val="22"/>
                <w:szCs w:val="22"/>
                <w:highlight w:val="none"/>
              </w:rPr>
            </w:pPr>
            <w:r>
              <w:rPr>
                <w:rFonts w:eastAsia="仿宋_GB2312"/>
                <w:color w:val="auto"/>
                <w:kern w:val="0"/>
                <w:sz w:val="22"/>
                <w:szCs w:val="22"/>
                <w:highlight w:val="none"/>
              </w:rPr>
              <w:t>　</w:t>
            </w:r>
          </w:p>
        </w:tc>
        <w:tc>
          <w:tcPr>
            <w:tcW w:w="1349" w:type="pct"/>
            <w:tcBorders>
              <w:top w:val="nil"/>
              <w:left w:val="nil"/>
              <w:bottom w:val="single" w:color="auto" w:sz="4" w:space="0"/>
              <w:right w:val="nil"/>
            </w:tcBorders>
            <w:vAlign w:val="bottom"/>
          </w:tcPr>
          <w:p w14:paraId="24C3663C">
            <w:pPr>
              <w:widowControl/>
              <w:jc w:val="right"/>
              <w:rPr>
                <w:rFonts w:eastAsia="仿宋_GB2312"/>
                <w:color w:val="auto"/>
                <w:kern w:val="0"/>
                <w:sz w:val="22"/>
                <w:szCs w:val="22"/>
                <w:highlight w:val="none"/>
              </w:rPr>
            </w:pPr>
            <w:r>
              <w:rPr>
                <w:rFonts w:eastAsia="仿宋_GB2312"/>
                <w:color w:val="auto"/>
                <w:kern w:val="0"/>
                <w:sz w:val="22"/>
                <w:szCs w:val="22"/>
                <w:highlight w:val="none"/>
              </w:rPr>
              <w:t>年月日</w:t>
            </w:r>
          </w:p>
        </w:tc>
        <w:tc>
          <w:tcPr>
            <w:tcW w:w="1481" w:type="pct"/>
            <w:tcBorders>
              <w:top w:val="nil"/>
              <w:left w:val="single" w:color="auto" w:sz="4" w:space="0"/>
              <w:bottom w:val="single" w:color="auto" w:sz="4" w:space="0"/>
              <w:right w:val="nil"/>
            </w:tcBorders>
            <w:noWrap/>
            <w:vAlign w:val="center"/>
          </w:tcPr>
          <w:p w14:paraId="70AE0DDF">
            <w:pPr>
              <w:widowControl/>
              <w:jc w:val="left"/>
              <w:rPr>
                <w:rFonts w:eastAsia="仿宋_GB2312"/>
                <w:color w:val="auto"/>
                <w:kern w:val="0"/>
                <w:sz w:val="22"/>
                <w:szCs w:val="22"/>
                <w:highlight w:val="none"/>
              </w:rPr>
            </w:pPr>
            <w:r>
              <w:rPr>
                <w:rFonts w:eastAsia="仿宋_GB2312"/>
                <w:color w:val="auto"/>
                <w:kern w:val="0"/>
                <w:sz w:val="22"/>
                <w:szCs w:val="22"/>
                <w:highlight w:val="none"/>
              </w:rPr>
              <w:t>　</w:t>
            </w:r>
          </w:p>
        </w:tc>
        <w:tc>
          <w:tcPr>
            <w:tcW w:w="1248" w:type="pct"/>
            <w:tcBorders>
              <w:top w:val="nil"/>
              <w:left w:val="nil"/>
              <w:bottom w:val="single" w:color="auto" w:sz="4" w:space="0"/>
              <w:right w:val="single" w:color="auto" w:sz="8" w:space="0"/>
            </w:tcBorders>
            <w:vAlign w:val="bottom"/>
          </w:tcPr>
          <w:p w14:paraId="4CA7A3BF">
            <w:pPr>
              <w:widowControl/>
              <w:jc w:val="right"/>
              <w:rPr>
                <w:rFonts w:eastAsia="仿宋_GB2312"/>
                <w:color w:val="auto"/>
                <w:kern w:val="0"/>
                <w:sz w:val="22"/>
                <w:szCs w:val="22"/>
                <w:highlight w:val="none"/>
              </w:rPr>
            </w:pPr>
            <w:r>
              <w:rPr>
                <w:rFonts w:eastAsia="仿宋_GB2312"/>
                <w:color w:val="auto"/>
                <w:kern w:val="0"/>
                <w:sz w:val="22"/>
                <w:szCs w:val="22"/>
                <w:highlight w:val="none"/>
              </w:rPr>
              <w:t>年月日</w:t>
            </w:r>
          </w:p>
        </w:tc>
      </w:tr>
      <w:tr w14:paraId="5D3555C0">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3C36D3BB">
            <w:pPr>
              <w:widowControl/>
              <w:jc w:val="center"/>
              <w:rPr>
                <w:rFonts w:eastAsia="仿宋_GB2312"/>
                <w:b/>
                <w:bCs/>
                <w:color w:val="auto"/>
                <w:kern w:val="0"/>
                <w:sz w:val="22"/>
                <w:szCs w:val="22"/>
                <w:highlight w:val="none"/>
              </w:rPr>
            </w:pPr>
            <w:r>
              <w:rPr>
                <w:rFonts w:eastAsia="仿宋_GB2312"/>
                <w:b/>
                <w:bCs/>
                <w:color w:val="auto"/>
                <w:kern w:val="0"/>
                <w:sz w:val="22"/>
                <w:szCs w:val="22"/>
                <w:highlight w:val="none"/>
              </w:rPr>
              <w:t>采购内容</w:t>
            </w:r>
          </w:p>
        </w:tc>
      </w:tr>
      <w:tr w14:paraId="6454E5E7">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3F677B6F">
            <w:pPr>
              <w:widowControl/>
              <w:jc w:val="center"/>
              <w:rPr>
                <w:rFonts w:eastAsia="仿宋_GB2312"/>
                <w:b/>
                <w:bCs/>
                <w:color w:val="auto"/>
                <w:kern w:val="0"/>
                <w:sz w:val="28"/>
                <w:szCs w:val="28"/>
                <w:highlight w:val="none"/>
              </w:rPr>
            </w:pPr>
            <w:r>
              <w:rPr>
                <w:rFonts w:eastAsia="仿宋_GB2312"/>
                <w:b/>
                <w:bCs/>
                <w:color w:val="auto"/>
                <w:kern w:val="0"/>
                <w:sz w:val="28"/>
                <w:szCs w:val="28"/>
                <w:highlight w:val="none"/>
              </w:rPr>
              <w:t>采购内容请列明品目、规格、型号、数量、单价、总价</w:t>
            </w:r>
          </w:p>
        </w:tc>
      </w:tr>
    </w:tbl>
    <w:p w14:paraId="35110A1C">
      <w:pPr>
        <w:pStyle w:val="6"/>
        <w:rPr>
          <w:rFonts w:ascii="仿宋_GB2312" w:hAnsi="仿宋_GB2312" w:eastAsia="仿宋_GB2312" w:cs="仿宋_GB2312"/>
          <w:color w:val="auto"/>
          <w:highlight w:val="none"/>
        </w:rPr>
      </w:pPr>
    </w:p>
    <w:p w14:paraId="0158FE24">
      <w:pPr>
        <w:pStyle w:val="6"/>
        <w:rPr>
          <w:rFonts w:hint="eastAsia"/>
          <w:color w:val="auto"/>
          <w:highlight w:val="none"/>
          <w:lang w:val="en-US" w:eastAsia="zh-Hans"/>
        </w:rPr>
      </w:pPr>
    </w:p>
    <w:p w14:paraId="33835181">
      <w:pPr>
        <w:pStyle w:val="6"/>
        <w:rPr>
          <w:rFonts w:hint="eastAsia"/>
          <w:color w:val="auto"/>
          <w:highlight w:val="none"/>
          <w:lang w:val="en-US" w:eastAsia="zh-Hans"/>
        </w:rPr>
      </w:pPr>
    </w:p>
    <w:p w14:paraId="61ABB945">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2E7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5">
    <w:name w:val="标题 1 Char1"/>
    <w:qFormat/>
    <w:uiPriority w:val="99"/>
    <w:rPr>
      <w:rFonts w:ascii="黑体" w:eastAsia="黑体"/>
      <w:sz w:val="52"/>
      <w:lang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2025-08-07T05:36:30Z</dcterms:created>
  <dc:creator>lenovo</dc:creator>
  <cp:lastModifiedBy>唯一</cp:lastModifiedBy>
  <dcterms:modified xsi:type="dcterms:W3CDTF">2025-08-07T05:36:53Z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eyJoZGlkIjoiNjA3YjNiMzgzMGE5NzFmYWNiNzE4NTcwYzQ0YmVkYTMiLCJ1c2VySWQiOiIxNzI1ODI5MjM1In0=</vt:lpwstr>
  </property>
  <property fmtid="{D5CDD505-2E9C-101B-9397-08002B2CF9AE}" pid="4" name="ICV">
    <vt:lpwstr>3126A330FE1F419A981FD08986CAC7E7_12</vt:lpwstr>
  </property>
</Properties>
</file>