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版本号：TZZB-2025254C20250902001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2025年西安市电子商务大数据监测分析服务项目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TZZB-2025254C</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2025年西安市电子商务大数据监测分析服务项目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TZZB-2025254C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2025年西安市电子商务大数据监测分析服务项目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了解我市电商发展情况，结合电子商务经济监测、统计、分析和应用需求，利用大数据技术通过采集各电商领域主流平台公开数据，完成对电商数据的整合、挖掘、分析和可视化，基于这些数据，通过定性化和定量化方法相结合来创建行业画像，全面、准确掌握我市电商产业及企业的发展态势，为行业发展提供数据支撑和科学依据，从而助力进行经济运行监测、市场分析研判、市场主体培育、政策决策支持。本次采购西安市电子商务大数据监测分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2、磋商响应单位代表身份：法定代表人参加投标时，提供本人身份证；授权代表参加投标时，提供法定代表人授权书和被授权人身份证；非法人单位参照执行；</w:t>
      </w:r>
    </w:p>
    <w:p>
      <w:pPr>
        <w:pStyle w:val="null3"/>
      </w:pPr>
      <w:r>
        <w:rPr>
          <w:rFonts w:ascii="仿宋_GB2312" w:hAnsi="仿宋_GB2312" w:cs="仿宋_GB2312" w:eastAsia="仿宋_GB2312"/>
        </w:rPr>
        <w:t>3、税收缴纳证明：提供2024年08月至今已缴纳的至少一个月的纳税证明或完税证明（任意税种），依法免税的单位应提供相关证明材料；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4、社会保障资金缴纳证明：提供2024年08月至今已缴存的至少一个月的社会保障资金缴存单据或社保机构开具的社会保险参保缴费情况证明，依法不需要缴纳社会保障资金的单位应提供相关证明材料；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5、财务状况：提供供应商2024年经审计的财务报告或磋商前三个月内开户银行开具的资信证明；</w:t>
      </w:r>
    </w:p>
    <w:p>
      <w:pPr>
        <w:pStyle w:val="null3"/>
      </w:pPr>
      <w:r>
        <w:rPr>
          <w:rFonts w:ascii="仿宋_GB2312" w:hAnsi="仿宋_GB2312" w:cs="仿宋_GB2312" w:eastAsia="仿宋_GB2312"/>
        </w:rPr>
        <w:t>6、经营活动：参加政府采购活动前三年内，在经营活动中没有重大违法记录的书面声明；</w:t>
      </w:r>
    </w:p>
    <w:p>
      <w:pPr>
        <w:pStyle w:val="null3"/>
      </w:pPr>
      <w:r>
        <w:rPr>
          <w:rFonts w:ascii="仿宋_GB2312" w:hAnsi="仿宋_GB2312" w:cs="仿宋_GB2312" w:eastAsia="仿宋_GB2312"/>
        </w:rPr>
        <w:t>7、控股、管理关系：磋商单位负责人为同一人或者存在控股、管理关系的不同单位不得同时进行投标；</w:t>
      </w:r>
    </w:p>
    <w:p>
      <w:pPr>
        <w:pStyle w:val="null3"/>
      </w:pPr>
      <w:r>
        <w:rPr>
          <w:rFonts w:ascii="仿宋_GB2312" w:hAnsi="仿宋_GB2312" w:cs="仿宋_GB2312" w:eastAsia="仿宋_GB2312"/>
        </w:rPr>
        <w:t>8、“信用中国”网站和“中国政府采购网”查询截图：供应商不得为“信用中国”网站（www.creditchina.gov.cn）（中国执行信息公开网）和中国政府采购网（www.ccgp.gov.cn）中被列入失信被执行人、重大税收违法失信主体、政府采购严重违法失信行为记录名单的单位；</w:t>
      </w:r>
    </w:p>
    <w:p>
      <w:pPr>
        <w:pStyle w:val="null3"/>
      </w:pPr>
      <w:r>
        <w:rPr>
          <w:rFonts w:ascii="仿宋_GB2312" w:hAnsi="仿宋_GB2312" w:cs="仿宋_GB2312" w:eastAsia="仿宋_GB2312"/>
        </w:rPr>
        <w:t>9、具有履行合同所必需的设备和专业技术能力：具有履行合同所必需的设备和专业技术能力的承诺函；</w:t>
      </w:r>
    </w:p>
    <w:p>
      <w:pPr>
        <w:pStyle w:val="null3"/>
      </w:pPr>
      <w:r>
        <w:rPr>
          <w:rFonts w:ascii="仿宋_GB2312" w:hAnsi="仿宋_GB2312" w:cs="仿宋_GB2312" w:eastAsia="仿宋_GB2312"/>
        </w:rPr>
        <w:t>10、联合体：本项目不接受联合体磋商（提供承诺书）；</w:t>
      </w:r>
    </w:p>
    <w:p>
      <w:pPr>
        <w:pStyle w:val="null3"/>
      </w:pPr>
      <w:r>
        <w:rPr>
          <w:rFonts w:ascii="仿宋_GB2312" w:hAnsi="仿宋_GB2312" w:cs="仿宋_GB2312" w:eastAsia="仿宋_GB2312"/>
        </w:rPr>
        <w:t>11、其他：本项目不专门面向中小企业采购。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029-86786520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陕西省西安市未央区西安市经开区凤城八路180号长和国际F座22层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王燕、倪莹、赵淑涵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029-86522030转612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关于印发&lt;招标代理服务收费管理暂行办法&gt;的通知》(计价格[2002]1980号)及国家发展和改革委员会(发改办价格[2011]534号)文件规定的收费标准计取，不足3300元按3300元收取。 缴纳招标代理服务费账号： 户名：同正项目管理有限公司 开户行：中国建设银行股份有限公司西安长庆支行 账号：61050190550000001106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联系人：倪莹、王燕、赵淑涵</w:t>
      </w:r>
    </w:p>
    <w:p>
      <w:pPr>
        <w:pStyle w:val="null3"/>
      </w:pPr>
      <w:r>
        <w:rPr>
          <w:rFonts w:ascii="仿宋_GB2312" w:hAnsi="仿宋_GB2312" w:cs="仿宋_GB2312" w:eastAsia="仿宋_GB2312"/>
        </w:rPr>
        <w:t>联系电话：029-86522030转612</w:t>
      </w:r>
    </w:p>
    <w:p>
      <w:pPr>
        <w:pStyle w:val="null3"/>
      </w:pPr>
      <w:r>
        <w:rPr>
          <w:rFonts w:ascii="仿宋_GB2312" w:hAnsi="仿宋_GB2312" w:cs="仿宋_GB2312" w:eastAsia="仿宋_GB2312"/>
        </w:rPr>
        <w:t>地址：陕西省西安市经济技术开发区凤城八路180号长和国际F座22层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了解我市电商发展情况，结合电子商务经济监测、统计、分析和应用需求，利用大数据技术通过采集各电商领域主流平台公开数据，完成对电商数据的整合、挖掘、分析和可视化，基于这些数据，通过定性化和定量化方法相结合来创建行业画像，全面、准确掌握我市电商产业及企业的发展态势，为行业发展提供数据支撑和科学依据，从而助力进行经济运行监测、市场分析研判、市场主体培育、政策决策支持。本次采购西安市电子商务大数据监测分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2025年西安市电子商务大数据监测分析服务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标的名称：2025年西安市电子商务大数据监测分析服务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一、项目概况</w:t>
            </w:r>
          </w:p>
          <w:p>
            <w:pPr>
              <w:pStyle w:val="null3"/>
              <w:ind w:firstLine="524"/>
            </w:pPr>
            <w:r>
              <w:rPr>
                <w:rFonts w:ascii="仿宋_GB2312" w:hAnsi="仿宋_GB2312" w:cs="仿宋_GB2312" w:eastAsia="仿宋_GB2312"/>
                <w:sz w:val="24"/>
                <w:color w:val="000000"/>
              </w:rPr>
              <w:t>为进一步了解我市电商发展情况，结合电子商务经济监测、统计、分析和应用需求，利用大数据技术通过采集各电商领域主流平台公开数据，完成对电商数据的整合、挖掘、分析和可视化，基于这些数据，通过定性化和定量化方法相结合来创建行业画像，全面、准确掌握我市电商产业及企业的发展态势，为行业发展提供数据支撑和科学依据，从而助力进行经济运行监测、市场分析研判、市场主体培育、政策决策支持。本次采购西安市电子商务大数据监测分析服务。</w:t>
            </w:r>
          </w:p>
          <w:p>
            <w:pPr>
              <w:pStyle w:val="null3"/>
            </w:pPr>
            <w:r>
              <w:rPr>
                <w:rFonts w:ascii="仿宋_GB2312" w:hAnsi="仿宋_GB2312" w:cs="仿宋_GB2312" w:eastAsia="仿宋_GB2312"/>
                <w:sz w:val="24"/>
                <w:color w:val="000000"/>
              </w:rPr>
              <w:t>二、服务内容</w:t>
            </w:r>
          </w:p>
          <w:p>
            <w:pPr>
              <w:pStyle w:val="null3"/>
              <w:ind w:firstLine="524"/>
            </w:pPr>
            <w:r>
              <w:rPr>
                <w:rFonts w:ascii="仿宋_GB2312" w:hAnsi="仿宋_GB2312" w:cs="仿宋_GB2312" w:eastAsia="仿宋_GB2312"/>
                <w:sz w:val="24"/>
                <w:color w:val="000000"/>
              </w:rPr>
              <w:t>（一）西安市各电商平台企业基本情况：提供全市范围内在不同电商平台运营的全量企业清单、销售额等数据，各平台企业销售额占比。企业是否达限情况。企业具体区县分布。</w:t>
            </w:r>
          </w:p>
          <w:p>
            <w:pPr>
              <w:pStyle w:val="null3"/>
              <w:ind w:firstLine="524"/>
            </w:pPr>
            <w:r>
              <w:rPr>
                <w:rFonts w:ascii="仿宋_GB2312" w:hAnsi="仿宋_GB2312" w:cs="仿宋_GB2312" w:eastAsia="仿宋_GB2312"/>
                <w:sz w:val="24"/>
                <w:color w:val="000000"/>
              </w:rPr>
              <w:t>（二）网络零售数据查询系统：以</w:t>
            </w:r>
            <w:r>
              <w:rPr>
                <w:rFonts w:ascii="仿宋_GB2312" w:hAnsi="仿宋_GB2312" w:cs="仿宋_GB2312" w:eastAsia="仿宋_GB2312"/>
                <w:sz w:val="24"/>
                <w:color w:val="000000"/>
              </w:rPr>
              <w:t>SAAS账号的形式提供网络零售数据查询系统，向采购人开放账户使用权限，可实现全天候本地区整体和细分领域网络零售数据的查询，包括首页概览、全景分析、地区排名、企业奖补、特色专题等功能，同时系统能够融合大模型技术，提供AI助手和智能简报功能，可根据用户提出的电商领域问题，快速给出问题的答复，智能简报搭配AI智能解读，分析本地区网零数据的情况及发展特点，帮助用户轻松掌握市场脉搏，助力用户快速做出精准决策；</w:t>
            </w:r>
          </w:p>
          <w:p>
            <w:pPr>
              <w:pStyle w:val="null3"/>
              <w:ind w:firstLine="524"/>
            </w:pPr>
            <w:r>
              <w:rPr>
                <w:rFonts w:ascii="仿宋_GB2312" w:hAnsi="仿宋_GB2312" w:cs="仿宋_GB2312" w:eastAsia="仿宋_GB2312"/>
                <w:sz w:val="24"/>
                <w:color w:val="000000"/>
              </w:rPr>
              <w:t>（三）月度网络零售数据分析报告：根据电商数据监测情况，按月度对采集的电商平台明细数据进行汇总统计和解读，提供月度网络零售数据分析报告，整体分析西安市网络零售市场整体发展现状；</w:t>
            </w:r>
          </w:p>
          <w:p>
            <w:pPr>
              <w:pStyle w:val="null3"/>
              <w:ind w:firstLine="524"/>
            </w:pPr>
            <w:r>
              <w:rPr>
                <w:rFonts w:ascii="仿宋_GB2312" w:hAnsi="仿宋_GB2312" w:cs="仿宋_GB2312" w:eastAsia="仿宋_GB2312"/>
                <w:sz w:val="24"/>
                <w:color w:val="000000"/>
              </w:rPr>
              <w:t>（四）年度网络零售数据分析报告：提供西安市年度网络零售数据分析报告，全面分析西安市网络零售市场整体情况，具体分析维度包括：西安市网络零售市场整体发展现状、各区县网络零售市场发展现状、各行业网络零售情况、重点网商及品牌网络零售情况、农村电商整体发展情况、农产品网络零售情况、西安市跨境电商发展情况、网络零售主体流向分析、限额以上（年销售额</w:t>
            </w:r>
            <w:r>
              <w:rPr>
                <w:rFonts w:ascii="仿宋_GB2312" w:hAnsi="仿宋_GB2312" w:cs="仿宋_GB2312" w:eastAsia="仿宋_GB2312"/>
                <w:sz w:val="24"/>
                <w:color w:val="000000"/>
              </w:rPr>
              <w:t>500万以上）电商企业情况（包括企业数量、总体销售额、同比增速）等内容，并针对西安市直播电商发展情况进行分析，分析维度包括：全国电商直播发展情况、陕西省电商直播发展情况、西安市电商直播发展情况、西安市各行业电商直播发展情况、西安市各区县电商直播发展情况、西安市农产品电商直播发展情况、西安市主播排行榜、店铺和企业排行榜等内容，全面客观的体现全市网络零售发展的宏观趋势和微观行情。</w:t>
            </w:r>
          </w:p>
          <w:p>
            <w:pPr>
              <w:pStyle w:val="null3"/>
              <w:ind w:firstLine="524"/>
            </w:pPr>
            <w:r>
              <w:rPr>
                <w:rFonts w:ascii="仿宋_GB2312" w:hAnsi="仿宋_GB2312" w:cs="仿宋_GB2312" w:eastAsia="仿宋_GB2312"/>
                <w:sz w:val="24"/>
                <w:color w:val="000000"/>
              </w:rPr>
              <w:t>（五）重要节假日分析报告：监测春节、五一、国庆等小长假，</w:t>
            </w:r>
            <w:r>
              <w:rPr>
                <w:rFonts w:ascii="仿宋_GB2312" w:hAnsi="仿宋_GB2312" w:cs="仿宋_GB2312" w:eastAsia="仿宋_GB2312"/>
                <w:sz w:val="24"/>
                <w:color w:val="000000"/>
              </w:rPr>
              <w:t>“618”、“双11”、“双12”等电商促销节点，以及商务部组织开展的网上年货节、双品网购节等重点促销活动期间的全市网络销售数据和主要行业趋势分析。针对西安市本地组织的电商促销节，提供一个重点促销费活动个性化定制分析服务，对促销节期间的数据进行采集并分析，提供促销节期间网零相关数据。</w:t>
            </w:r>
          </w:p>
          <w:p>
            <w:pPr>
              <w:pStyle w:val="null3"/>
              <w:ind w:firstLine="524"/>
            </w:pPr>
            <w:r>
              <w:rPr>
                <w:rFonts w:ascii="仿宋_GB2312" w:hAnsi="仿宋_GB2312" w:cs="仿宋_GB2312" w:eastAsia="仿宋_GB2312"/>
                <w:sz w:val="24"/>
                <w:color w:val="000000"/>
              </w:rPr>
              <w:t>（六）特色专题分析报告：提供西安市某行业特色专题分析报告一份，针对该行业进行专题分析，并建立西安市本地特色产品及优势企业库，并从全国整体、地区对比、热销平台、优势区域、价格分布、重点网商情况等多维结构分析，掌握特色产品的销售规模和发展差距，展现产品的销售特点，</w:t>
            </w:r>
            <w:r>
              <w:rPr>
                <w:rFonts w:ascii="仿宋_GB2312" w:hAnsi="仿宋_GB2312" w:cs="仿宋_GB2312" w:eastAsia="仿宋_GB2312"/>
                <w:sz w:val="24"/>
                <w:color w:val="000000"/>
              </w:rPr>
              <w:t>深入挖掘西安市优势特色产品触网。</w:t>
            </w:r>
          </w:p>
          <w:p>
            <w:pPr>
              <w:pStyle w:val="null3"/>
            </w:pPr>
            <w:r>
              <w:rPr>
                <w:rFonts w:ascii="仿宋_GB2312" w:hAnsi="仿宋_GB2312" w:cs="仿宋_GB2312" w:eastAsia="仿宋_GB2312"/>
                <w:sz w:val="24"/>
                <w:color w:val="000000"/>
              </w:rPr>
              <w:t>三、技术要求（一般适合于技术服务项目）</w:t>
            </w:r>
          </w:p>
          <w:p>
            <w:pPr>
              <w:pStyle w:val="null3"/>
              <w:ind w:firstLine="524"/>
            </w:pPr>
            <w:r>
              <w:rPr>
                <w:rFonts w:ascii="仿宋_GB2312" w:hAnsi="仿宋_GB2312" w:cs="仿宋_GB2312" w:eastAsia="仿宋_GB2312"/>
                <w:sz w:val="24"/>
                <w:color w:val="000000"/>
              </w:rPr>
              <w:t>（一）数据采集、加工、处理流程科学、合理，能够充分保证数据的准确性和完整性，数据总体误差率和缺失率都应控制在较小的范围内；</w:t>
            </w:r>
          </w:p>
          <w:p>
            <w:pPr>
              <w:pStyle w:val="null3"/>
              <w:ind w:firstLine="524"/>
            </w:pPr>
            <w:r>
              <w:rPr>
                <w:rFonts w:ascii="仿宋_GB2312" w:hAnsi="仿宋_GB2312" w:cs="仿宋_GB2312" w:eastAsia="仿宋_GB2312"/>
                <w:sz w:val="24"/>
                <w:color w:val="000000"/>
              </w:rPr>
              <w:t>（二）数据应经过标准化处理，数据之间应保持较好的一致性，从不同角度汇总出的同一指标数据应基本保持一致；</w:t>
            </w:r>
          </w:p>
          <w:p>
            <w:pPr>
              <w:pStyle w:val="null3"/>
              <w:ind w:firstLine="524"/>
            </w:pPr>
            <w:r>
              <w:rPr>
                <w:rFonts w:ascii="仿宋_GB2312" w:hAnsi="仿宋_GB2312" w:cs="仿宋_GB2312" w:eastAsia="仿宋_GB2312"/>
                <w:sz w:val="24"/>
                <w:color w:val="000000"/>
              </w:rPr>
              <w:t>（三）明细数据中各个数据项的设计应科学合理、逻辑清晰，如平台、企业、店铺、商品之间对应关系如何等；每个数据项来源应清晰明了，做到每条数据的每个数据项都可追溯。</w:t>
            </w:r>
          </w:p>
          <w:p>
            <w:pPr>
              <w:pStyle w:val="null3"/>
            </w:pPr>
            <w:r>
              <w:rPr>
                <w:rFonts w:ascii="仿宋_GB2312" w:hAnsi="仿宋_GB2312" w:cs="仿宋_GB2312" w:eastAsia="仿宋_GB2312"/>
                <w:sz w:val="24"/>
                <w:color w:val="000000"/>
              </w:rPr>
              <w:t>四、服务要求（如对人员配置、专业设备、服务标准等）</w:t>
            </w:r>
          </w:p>
          <w:p>
            <w:pPr>
              <w:pStyle w:val="null3"/>
              <w:ind w:firstLine="524"/>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按月度频率</w:t>
            </w:r>
            <w:r>
              <w:rPr>
                <w:rFonts w:ascii="仿宋_GB2312" w:hAnsi="仿宋_GB2312" w:cs="仿宋_GB2312" w:eastAsia="仿宋_GB2312"/>
                <w:sz w:val="24"/>
                <w:color w:val="000000"/>
              </w:rPr>
              <w:t>进行数据</w:t>
            </w:r>
            <w:r>
              <w:rPr>
                <w:rFonts w:ascii="仿宋_GB2312" w:hAnsi="仿宋_GB2312" w:cs="仿宋_GB2312" w:eastAsia="仿宋_GB2312"/>
                <w:sz w:val="24"/>
                <w:color w:val="000000"/>
              </w:rPr>
              <w:t>更新；</w:t>
            </w:r>
          </w:p>
          <w:p>
            <w:pPr>
              <w:pStyle w:val="null3"/>
              <w:ind w:firstLine="524"/>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）每月</w:t>
            </w:r>
            <w:r>
              <w:rPr>
                <w:rFonts w:ascii="仿宋_GB2312" w:hAnsi="仿宋_GB2312" w:cs="仿宋_GB2312" w:eastAsia="仿宋_GB2312"/>
                <w:sz w:val="24"/>
                <w:color w:val="000000"/>
              </w:rPr>
              <w:t>10</w:t>
            </w:r>
            <w:r>
              <w:rPr>
                <w:rFonts w:ascii="仿宋_GB2312" w:hAnsi="仿宋_GB2312" w:cs="仿宋_GB2312" w:eastAsia="仿宋_GB2312"/>
                <w:sz w:val="24"/>
                <w:color w:val="000000"/>
              </w:rPr>
              <w:t>日前</w:t>
            </w:r>
            <w:r>
              <w:rPr>
                <w:rFonts w:ascii="仿宋_GB2312" w:hAnsi="仿宋_GB2312" w:cs="仿宋_GB2312" w:eastAsia="仿宋_GB2312"/>
                <w:sz w:val="24"/>
                <w:color w:val="000000"/>
              </w:rPr>
              <w:t>完成系统数据更新，</w:t>
            </w:r>
            <w:r>
              <w:rPr>
                <w:rFonts w:ascii="仿宋_GB2312" w:hAnsi="仿宋_GB2312" w:cs="仿宋_GB2312" w:eastAsia="仿宋_GB2312"/>
                <w:sz w:val="24"/>
                <w:color w:val="000000"/>
              </w:rPr>
              <w:t>13号前</w:t>
            </w:r>
            <w:r>
              <w:rPr>
                <w:rFonts w:ascii="仿宋_GB2312" w:hAnsi="仿宋_GB2312" w:cs="仿宋_GB2312" w:eastAsia="仿宋_GB2312"/>
                <w:sz w:val="24"/>
                <w:color w:val="000000"/>
              </w:rPr>
              <w:t>交付上一月度网络零售数据分析报告，</w:t>
            </w:r>
            <w:r>
              <w:rPr>
                <w:rFonts w:ascii="仿宋_GB2312" w:hAnsi="仿宋_GB2312" w:cs="仿宋_GB2312" w:eastAsia="仿宋_GB2312"/>
                <w:sz w:val="24"/>
                <w:color w:val="000000"/>
              </w:rPr>
              <w:t>1月15日前交付年度网络零售数据分析报告，并更新网络零售数据查询系统在线应用数据，重要节假日结束后三天内提交分析报告或数据，双12、春节、五一、国庆等小长假结束后3天内提交分析简报；</w:t>
            </w:r>
          </w:p>
          <w:p>
            <w:pPr>
              <w:pStyle w:val="null3"/>
              <w:ind w:firstLine="524"/>
            </w:pPr>
            <w:r>
              <w:rPr>
                <w:rFonts w:ascii="仿宋_GB2312" w:hAnsi="仿宋_GB2312" w:cs="仿宋_GB2312" w:eastAsia="仿宋_GB2312"/>
                <w:sz w:val="24"/>
                <w:color w:val="000000"/>
              </w:rPr>
              <w:t>（三）</w:t>
            </w:r>
            <w:r>
              <w:rPr>
                <w:rFonts w:ascii="仿宋_GB2312" w:hAnsi="仿宋_GB2312" w:cs="仿宋_GB2312" w:eastAsia="仿宋_GB2312"/>
                <w:sz w:val="24"/>
                <w:color w:val="000000"/>
              </w:rPr>
              <w:t>网络零售分析数据报告（含月度、年度）、重要节假日分析报告、特色专题分析报告以</w:t>
            </w:r>
            <w:r>
              <w:rPr>
                <w:rFonts w:ascii="仿宋_GB2312" w:hAnsi="仿宋_GB2312" w:cs="仿宋_GB2312" w:eastAsia="仿宋_GB2312"/>
                <w:sz w:val="24"/>
                <w:color w:val="000000"/>
              </w:rPr>
              <w:t>WORD/PDF格式交付；网络零售数据查询系统以SaaS账号方式交付。</w:t>
            </w:r>
          </w:p>
          <w:p>
            <w:pPr>
              <w:pStyle w:val="null3"/>
            </w:pPr>
            <w:r>
              <w:rPr>
                <w:rFonts w:ascii="仿宋_GB2312" w:hAnsi="仿宋_GB2312" w:cs="仿宋_GB2312" w:eastAsia="仿宋_GB2312"/>
                <w:sz w:val="24"/>
                <w:color w:val="000000"/>
              </w:rPr>
              <w:t>五、商务要求</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1"/>
                <w:color w:val="000000"/>
              </w:rPr>
              <w:t>（一）</w:t>
            </w:r>
            <w:r>
              <w:rPr>
                <w:rFonts w:ascii="仿宋_GB2312" w:hAnsi="仿宋_GB2312" w:cs="仿宋_GB2312" w:eastAsia="仿宋_GB2312"/>
                <w:sz w:val="24"/>
                <w:color w:val="000000"/>
              </w:rPr>
              <w:t>服务期限</w:t>
            </w:r>
          </w:p>
          <w:p>
            <w:pPr>
              <w:pStyle w:val="null3"/>
              <w:ind w:firstLine="524"/>
              <w:jc w:val="both"/>
            </w:pPr>
            <w:r>
              <w:rPr>
                <w:rFonts w:ascii="仿宋_GB2312" w:hAnsi="仿宋_GB2312" w:cs="仿宋_GB2312" w:eastAsia="仿宋_GB2312"/>
                <w:sz w:val="24"/>
                <w:color w:val="000000"/>
              </w:rPr>
              <w:t>自合同签订之日起一年。</w:t>
            </w:r>
          </w:p>
          <w:p>
            <w:pPr>
              <w:pStyle w:val="null3"/>
              <w:ind w:firstLine="442"/>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款项结算</w:t>
            </w:r>
          </w:p>
          <w:p>
            <w:pPr>
              <w:pStyle w:val="null3"/>
              <w:ind w:firstLine="524"/>
              <w:jc w:val="both"/>
            </w:pPr>
            <w:r>
              <w:rPr>
                <w:rFonts w:ascii="仿宋_GB2312" w:hAnsi="仿宋_GB2312" w:cs="仿宋_GB2312" w:eastAsia="仿宋_GB2312"/>
                <w:sz w:val="24"/>
                <w:color w:val="000000"/>
              </w:rPr>
              <w:t>合同签订后、收到供应商提供的合规发票，达到付款条件</w:t>
            </w:r>
            <w:r>
              <w:rPr>
                <w:rFonts w:ascii="仿宋_GB2312" w:hAnsi="仿宋_GB2312" w:cs="仿宋_GB2312" w:eastAsia="仿宋_GB2312"/>
                <w:sz w:val="24"/>
                <w:color w:val="000000"/>
              </w:rPr>
              <w:t>10日内支付合同总价款的80%；</w:t>
            </w:r>
          </w:p>
          <w:p>
            <w:pPr>
              <w:pStyle w:val="null3"/>
              <w:ind w:firstLine="524"/>
              <w:jc w:val="both"/>
            </w:pPr>
            <w:r>
              <w:rPr>
                <w:rFonts w:ascii="仿宋_GB2312" w:hAnsi="仿宋_GB2312" w:cs="仿宋_GB2312" w:eastAsia="仿宋_GB2312"/>
                <w:sz w:val="24"/>
                <w:color w:val="000000"/>
              </w:rPr>
              <w:t>服务结束、验收合格后，收到供应商提供的合规发票，达到付款条件</w:t>
            </w:r>
            <w:r>
              <w:rPr>
                <w:rFonts w:ascii="仿宋_GB2312" w:hAnsi="仿宋_GB2312" w:cs="仿宋_GB2312" w:eastAsia="仿宋_GB2312"/>
                <w:sz w:val="24"/>
                <w:color w:val="000000"/>
              </w:rPr>
              <w:t>10日内支付剩余合同价款的20%。</w:t>
            </w:r>
          </w:p>
          <w:p>
            <w:pPr>
              <w:pStyle w:val="null3"/>
            </w:pPr>
            <w:r>
              <w:rPr>
                <w:rFonts w:ascii="仿宋_GB2312" w:hAnsi="仿宋_GB2312" w:cs="仿宋_GB2312" w:eastAsia="仿宋_GB2312"/>
                <w:sz w:val="24"/>
                <w:color w:val="000000"/>
              </w:rPr>
              <w:t>六、其他</w:t>
            </w:r>
          </w:p>
          <w:p>
            <w:pPr>
              <w:pStyle w:val="null3"/>
              <w:ind w:firstLine="442"/>
            </w:pP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对</w:t>
            </w:r>
            <w:r>
              <w:rPr>
                <w:rFonts w:ascii="仿宋_GB2312" w:hAnsi="仿宋_GB2312" w:cs="仿宋_GB2312" w:eastAsia="仿宋_GB2312"/>
                <w:sz w:val="24"/>
                <w:color w:val="000000"/>
              </w:rPr>
              <w:t>服务商的业绩要求</w:t>
            </w:r>
          </w:p>
          <w:p>
            <w:pPr>
              <w:pStyle w:val="null3"/>
              <w:ind w:firstLine="442"/>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供应商需提供同类项目业绩合同。</w:t>
            </w:r>
          </w:p>
          <w:p>
            <w:pPr>
              <w:pStyle w:val="null3"/>
              <w:ind w:firstLine="442"/>
            </w:pP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进度要求</w:t>
            </w:r>
          </w:p>
          <w:p>
            <w:pPr>
              <w:pStyle w:val="null3"/>
              <w:ind w:firstLine="442"/>
            </w:pPr>
            <w:r>
              <w:rPr>
                <w:rFonts w:ascii="仿宋_GB2312" w:hAnsi="仿宋_GB2312" w:cs="仿宋_GB2312" w:eastAsia="仿宋_GB2312"/>
                <w:sz w:val="24"/>
                <w:color w:val="000000"/>
              </w:rPr>
              <w:t>1.签订合同后一周内完成</w:t>
            </w:r>
            <w:r>
              <w:rPr>
                <w:rFonts w:ascii="仿宋_GB2312" w:hAnsi="仿宋_GB2312" w:cs="仿宋_GB2312" w:eastAsia="仿宋_GB2312"/>
                <w:sz w:val="24"/>
                <w:color w:val="000000"/>
              </w:rPr>
              <w:t>西安市电子商务大数据监测分析服务</w:t>
            </w:r>
            <w:r>
              <w:rPr>
                <w:rFonts w:ascii="仿宋_GB2312" w:hAnsi="仿宋_GB2312" w:cs="仿宋_GB2312" w:eastAsia="仿宋_GB2312"/>
                <w:sz w:val="24"/>
                <w:color w:val="000000"/>
              </w:rPr>
              <w:t>方案及前期相关工作</w:t>
            </w:r>
            <w:r>
              <w:rPr>
                <w:rFonts w:ascii="仿宋_GB2312" w:hAnsi="仿宋_GB2312" w:cs="仿宋_GB2312" w:eastAsia="仿宋_GB2312"/>
                <w:sz w:val="24"/>
                <w:color w:val="000000"/>
              </w:rPr>
              <w:t>；</w:t>
            </w:r>
          </w:p>
          <w:p>
            <w:pPr>
              <w:pStyle w:val="null3"/>
              <w:ind w:firstLine="442"/>
            </w:pPr>
            <w:r>
              <w:rPr>
                <w:rFonts w:ascii="仿宋_GB2312" w:hAnsi="仿宋_GB2312" w:cs="仿宋_GB2312" w:eastAsia="仿宋_GB2312"/>
                <w:sz w:val="24"/>
                <w:color w:val="000000"/>
              </w:rPr>
              <w:t>2.合同履约结束后</w:t>
            </w:r>
            <w:r>
              <w:rPr>
                <w:rFonts w:ascii="仿宋_GB2312" w:hAnsi="仿宋_GB2312" w:cs="仿宋_GB2312" w:eastAsia="仿宋_GB2312"/>
                <w:sz w:val="24"/>
                <w:color w:val="000000"/>
              </w:rPr>
              <w:t>20</w:t>
            </w:r>
            <w:r>
              <w:rPr>
                <w:rFonts w:ascii="仿宋_GB2312" w:hAnsi="仿宋_GB2312" w:cs="仿宋_GB2312" w:eastAsia="仿宋_GB2312"/>
                <w:sz w:val="24"/>
                <w:color w:val="000000"/>
              </w:rPr>
              <w:t>日内完成资料整理、总结等工作。</w:t>
            </w:r>
          </w:p>
          <w:p>
            <w:pPr>
              <w:pStyle w:val="null3"/>
              <w:ind w:firstLine="442"/>
            </w:pPr>
            <w:r>
              <w:rPr>
                <w:rFonts w:ascii="仿宋_GB2312" w:hAnsi="仿宋_GB2312" w:cs="仿宋_GB2312" w:eastAsia="仿宋_GB2312"/>
                <w:sz w:val="24"/>
                <w:color w:val="000000"/>
              </w:rPr>
              <w:t>（三</w:t>
            </w:r>
            <w:r>
              <w:rPr>
                <w:rFonts w:ascii="仿宋_GB2312" w:hAnsi="仿宋_GB2312" w:cs="仿宋_GB2312" w:eastAsia="仿宋_GB2312"/>
                <w:sz w:val="24"/>
                <w:color w:val="000000"/>
              </w:rPr>
              <w:t>）</w:t>
            </w:r>
            <w:r>
              <w:rPr>
                <w:rFonts w:ascii="仿宋_GB2312" w:hAnsi="仿宋_GB2312" w:cs="仿宋_GB2312" w:eastAsia="仿宋_GB2312"/>
                <w:sz w:val="24"/>
                <w:color w:val="000000"/>
              </w:rPr>
              <w:t>成果交付</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满足采购人需求</w:t>
            </w:r>
          </w:p>
          <w:p>
            <w:pPr>
              <w:pStyle w:val="null3"/>
            </w:pPr>
            <w:r>
              <w:rPr>
                <w:rFonts w:ascii="仿宋_GB2312" w:hAnsi="仿宋_GB2312" w:cs="仿宋_GB2312" w:eastAsia="仿宋_GB2312"/>
                <w:sz w:val="24"/>
                <w:color w:val="000000"/>
              </w:rPr>
              <w:t>（四</w:t>
            </w:r>
            <w:r>
              <w:rPr>
                <w:rFonts w:ascii="仿宋_GB2312" w:hAnsi="仿宋_GB2312" w:cs="仿宋_GB2312" w:eastAsia="仿宋_GB2312"/>
                <w:sz w:val="24"/>
                <w:color w:val="000000"/>
              </w:rPr>
              <w:t>）</w:t>
            </w:r>
            <w:r>
              <w:rPr>
                <w:rFonts w:ascii="仿宋_GB2312" w:hAnsi="仿宋_GB2312" w:cs="仿宋_GB2312" w:eastAsia="仿宋_GB2312"/>
                <w:sz w:val="24"/>
                <w:color w:val="000000"/>
              </w:rPr>
              <w:t>质</w:t>
            </w:r>
            <w:r>
              <w:rPr>
                <w:rFonts w:ascii="仿宋_GB2312" w:hAnsi="仿宋_GB2312" w:cs="仿宋_GB2312" w:eastAsia="仿宋_GB2312"/>
                <w:sz w:val="24"/>
                <w:color w:val="000000"/>
              </w:rPr>
              <w:t>量验收标准或规范</w:t>
            </w:r>
          </w:p>
          <w:p>
            <w:pPr>
              <w:pStyle w:val="null3"/>
              <w:ind w:firstLine="442"/>
            </w:pPr>
            <w:r>
              <w:rPr>
                <w:rFonts w:ascii="仿宋_GB2312" w:hAnsi="仿宋_GB2312" w:cs="仿宋_GB2312" w:eastAsia="仿宋_GB2312"/>
                <w:sz w:val="24"/>
                <w:color w:val="000000"/>
              </w:rPr>
              <w:t>按照合同文本、磋商文件、磋商响应文件、供应商提供的服务内容资料汇编等进行逐项验收，各项指标均应符合验收标准及要求。</w:t>
            </w:r>
          </w:p>
          <w:p>
            <w:pPr>
              <w:pStyle w:val="null3"/>
              <w:ind w:firstLine="442"/>
            </w:pPr>
            <w:r>
              <w:rPr>
                <w:rFonts w:ascii="仿宋_GB2312" w:hAnsi="仿宋_GB2312" w:cs="仿宋_GB2312" w:eastAsia="仿宋_GB2312"/>
                <w:sz w:val="24"/>
                <w:color w:val="000000"/>
              </w:rPr>
              <w:t>验收合格后，填写验收单，双方盖章、签字生效。</w:t>
            </w:r>
          </w:p>
          <w:p>
            <w:pPr>
              <w:pStyle w:val="null3"/>
              <w:ind w:firstLine="508"/>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知识产权及</w:t>
            </w:r>
            <w:r>
              <w:rPr>
                <w:rFonts w:ascii="仿宋_GB2312" w:hAnsi="仿宋_GB2312" w:cs="仿宋_GB2312" w:eastAsia="仿宋_GB2312"/>
                <w:sz w:val="24"/>
                <w:color w:val="000000"/>
              </w:rPr>
              <w:t>保密条款</w:t>
            </w:r>
          </w:p>
          <w:p>
            <w:pPr>
              <w:pStyle w:val="null3"/>
              <w:ind w:firstLine="524"/>
            </w:pPr>
            <w:r>
              <w:rPr>
                <w:rFonts w:ascii="仿宋_GB2312" w:hAnsi="仿宋_GB2312" w:cs="仿宋_GB2312" w:eastAsia="仿宋_GB2312"/>
                <w:sz w:val="24"/>
                <w:color w:val="000000"/>
              </w:rPr>
              <w:t>本次采购服务项目所产生的各项数据、报告的知识产权归西安市商务局所有，供应商在未获得我局书面允许的情况下，不得向任何第三方披露或提供合同约定范围内的相关数据及资料。</w:t>
            </w:r>
          </w:p>
          <w:p>
            <w:pPr>
              <w:pStyle w:val="null3"/>
              <w:ind w:firstLine="442"/>
            </w:pPr>
            <w:r>
              <w:rPr>
                <w:rFonts w:ascii="仿宋_GB2312" w:hAnsi="仿宋_GB2312" w:cs="仿宋_GB2312" w:eastAsia="仿宋_GB2312"/>
                <w:sz w:val="24"/>
                <w:color w:val="000000"/>
              </w:rPr>
              <w:t>（六）违约责任</w:t>
            </w:r>
          </w:p>
          <w:p>
            <w:pPr>
              <w:pStyle w:val="null3"/>
              <w:ind w:firstLine="442"/>
            </w:pPr>
            <w:r>
              <w:rPr>
                <w:rFonts w:ascii="仿宋_GB2312" w:hAnsi="仿宋_GB2312" w:cs="仿宋_GB2312" w:eastAsia="仿宋_GB2312"/>
                <w:sz w:val="24"/>
                <w:color w:val="000000"/>
              </w:rPr>
              <w:t>1.按《民法典》中的相关条款执行。</w:t>
            </w:r>
          </w:p>
          <w:p>
            <w:pPr>
              <w:pStyle w:val="null3"/>
              <w:ind w:firstLine="442"/>
            </w:pPr>
            <w:r>
              <w:rPr>
                <w:rFonts w:ascii="仿宋_GB2312" w:hAnsi="仿宋_GB2312" w:cs="仿宋_GB2312" w:eastAsia="仿宋_GB2312"/>
                <w:sz w:val="24"/>
                <w:color w:val="000000"/>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ind w:firstLine="442"/>
            </w:pPr>
            <w:r>
              <w:rPr>
                <w:rFonts w:ascii="仿宋_GB2312" w:hAnsi="仿宋_GB2312" w:cs="仿宋_GB2312" w:eastAsia="仿宋_GB2312"/>
                <w:sz w:val="24"/>
                <w:color w:val="000000"/>
              </w:rPr>
              <w:t>3.由于不可抗力因素造成无法按照原计划提供服务，双方互不追究违约责任。</w:t>
            </w:r>
          </w:p>
          <w:p>
            <w:pPr>
              <w:pStyle w:val="null3"/>
              <w:ind w:firstLine="442"/>
            </w:pPr>
            <w:r>
              <w:rPr>
                <w:rFonts w:ascii="仿宋_GB2312" w:hAnsi="仿宋_GB2312" w:cs="仿宋_GB2312" w:eastAsia="仿宋_GB2312"/>
                <w:sz w:val="24"/>
                <w:color w:val="000000"/>
              </w:rPr>
              <w:t>4.如有异议另行协商。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满足实施本项目人员配置要求。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满足实施本项目设施设备要求。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（一）对服务商的业绩要求 供应商需提供同类项目业绩合同。 （二）进度要求 1.签订合同后一周内完成西安市电子商务大数据监测分析服务方案及前期相关工作 2.合同履约结束后20日内完成资料整理、总结等工作。 （三）成果交付要求：满足采购人的要求 （四）质量验收标准或规范 按照合同文本、磋商文件、磋商响应文件、供应商提供的服务内容资料汇编等进行逐项验收，各项指标均应符合验收标准及要求。 验收合格后，填写验收单，双方盖章、签字生效。 （五）知识产权及保密条款 本次采购服务项目所产生的各项数据、报告的知识产权归西安市商务局所有，供应商在未获得我局书面允许的情况下，不得向任何第三方披露或提供合同约定范围内的相关数据及资料。 （六）违约责任 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 3.验收和评价方式 3.1 乙方提供的服务最终验收达不到磋商文件要求和磋商响应文件承诺及国家或行业标准，或在使用中发现甲方不能容忍的缺陷等，将视为验收不合格，乙方应在甲方要求的时间内无条件完善或赔付采购人损失。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合同签订后、收到供应商提供的合规发票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服务结束、验收合格后，收到供应商提供的合规发票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通过电子化交易系统协商，供应商需在电子化交易系统上传响应的文件。成交供应商须在成交结果公示后三个工作日内向采购代理机构提供一正两副纸质响应文件及电子版2份（签字盖章扫描PDF和word文档格式，U盘存储），递交地址：陕西省西安市经济技术开发区凤城八路长和国际F座22层，联系电话：029-86522030转612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磋商响应单位代表身份</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提供2024年08月至今已缴纳的至少一个月的纳税证明或完税证明（任意税种），依法免税的单位应提供相关证明材料；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提供2024年08月至今已缴存的至少一个月的社会保障资金缴存单据或社保机构开具的社会保险参保缴费情况证明，依法不需要缴纳社会保障资金的单位应提供相关证明材料；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提供供应商2024年经审计的财务报告或磋商前三个月内开户银行开具的资信证明；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经营活动</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磋商单位负责人为同一人或者存在控股、管理关系的不同单位不得同时进行投标；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“信用中国”网站和“中国政府采购网”查询截图</w:t>
            </w:r>
          </w:p>
        </w:tc>
        <w:tc>
          <w:tcPr>
            <w:tcW w:type="dxa" w:w="3322"/>
          </w:tcPr>
          <w:p>
            <w:pPr>
              <w:pStyle w:val="null3"/>
            </w:pPr>
            <w:r>
              <w:rPr>
                <w:rFonts w:ascii="仿宋_GB2312" w:hAnsi="仿宋_GB2312" w:cs="仿宋_GB2312" w:eastAsia="仿宋_GB2312"/>
              </w:rPr>
              <w:t>供应商不得为“信用中国”网站（www.creditchina.gov.cn）（中国执行信息公开网）和中国政府采购网（www.ccgp.gov.cn）中被列入失信被执行人、重大税收违法失信主体、政府采购严重违法失信行为记录名单的单位；</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商务应答表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未出现法律法规或招标文件明确规定的其他无效投标/废标的情形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针对本项目提出相应的服务方案，包括：①项目整体及配套服务方案：方案展现出卓越的科学性、及时性与可行性：能够依据行业特性和项目需求制定科学合理的指标体系，逻辑严谨；②监测数据采集：依据监测对象、关键词及监测范围等信息制定的监测数据采集及分析方案，展现出极高的科学性与合理性，能够为项目监测提供充分的基础支持；③数据的分析处理能力：数据采集、加工、处理流程科学、合理，能够充分保证数据的准确性和完整性，数据总体误差率和缺失率都应控制在较小的范围内；数据应经过标准化处理，数据之间应保持较好的一致性，从不同角度汇总出的同一指标数据应基本保持一致；明细数据中各个数据项的设计应科学合理、逻辑清晰，如平台、企业、店铺、商品之间对应关系如何等；每个数据项来源应清晰明了，做到每条数据的每个数据项都可追溯。 二、评审标准：1、完整性：内容全面，对评审内容中的各项要求有详细描述；2、可实施性：切合本项目实际情况，实施步骤清晰合理；3、针对性：内容科学合理，能够紧扣项目实际情况。 三、赋分标准（满分27分）： ①项目整体及配套服务方案：每满足一个评审标准得3分，基本满足一个评审标准得2分，对该评审标准的响应内容模糊或存在缺陷得1分，未提供或完全无法满足该评审标准得0分。满分9分。 ②监测数据采集：每满足一个评审标准得3分，基本满足一个评审标准得2分，对该评审标准的响应内容模糊或存在缺陷得1分，未提供或完全无法满足该评审标准得0分。满分9分。 ③数据的分析处理能力：每满足一个评审标准得3分，基本满足一个评审标准得2分，对该评审标准的响应内容模糊或存在缺陷得1分，未提供或完全无法满足该评审标准得0分。满分9分。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一、评审内容：供应商针对本项目服务内容及服务期限要求，制定完善的进度计划安排。 二、评审标准：1、完整性：内容全面，对评审内容中的各项要求有详细描述；2、可实施性：切合本项目实际情况，实施步骤清晰合理；3、针对性：内容科学合理，能够紧扣项目实际情况。 三、赋分标准（满分9分）： 进度计划安排内容每满足一个评审标准得3分，基本满足一个评审标准得2分，对该评审标准的响应内容模糊或存在缺陷得1分，未提供或完全无法满足该评审标准得0分。满分9分。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一、评审内容：针对本项目制定完善的保障措施，包括：①质量保障措施②安全保密措施③进度保障措施 二、评审标准 ：1、完整性：内容全面，对评审内容中的各项要求有详细描述；2、可实施性：切合本项目实际情况，实施步骤清晰合理； 3、针对性：内容科学合理，能够紧扣项目实际情况。 三、赋分标准（满分9分）： ①质量保障措施：每完全满足一个评审标准得1分，基本满足一个评审标准得0.5分，对该评审标准的响应内容模糊或存在缺陷得0.2分，未提供或完全无法满足该评审标准得0分。满分3分。 ②安全保障措施：每完全满足一个评审标准得1分，基本满足一个评审标准得0.5分，对该评审标准的响应内容模糊或存在缺陷得0.2分，未提供或完全无法满足该评审标准得0分。满分3分。 ③进度保障措施：每完全满足一个评审标准得1分，基本满足一个评审标准得0.5分，对该评审标准的响应内容模糊或存在缺陷得0.2分，未提供或完全无法满足该评审标准得0分。满分3分。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服务需求分析及重难点分析</w:t>
            </w:r>
          </w:p>
        </w:tc>
        <w:tc>
          <w:tcPr>
            <w:tcW w:type="dxa" w:w="2492"/>
          </w:tcPr>
          <w:p>
            <w:pPr>
              <w:pStyle w:val="null3"/>
            </w:pPr>
            <w:r>
              <w:rPr>
                <w:rFonts w:ascii="仿宋_GB2312" w:hAnsi="仿宋_GB2312" w:cs="仿宋_GB2312" w:eastAsia="仿宋_GB2312"/>
              </w:rPr>
              <w:t>一、评审内容：分析本项目重难点并提出相应的解决策略，包括：①需求理解：服务需求分析全面且深入，精准识别核心需求与潜在需求，对项目实施目的理解准确透彻，为项目实施提供清晰、科学且具有前瞻性的方向指引；精准定位项目重点内容，从多维度全面且精准把握重点，深入剖析重点任务对项目整体目标实现的关键支撑作用，形成完整、闭环的分析逻辑，②项目重难点分析③解决策略： 二、评审标准：1、完整性：内容全面，对评审内容中的各项要求有详细描述； 2、可实施性：切合本项目实际情况，实施步骤清晰合理； 3、针对性：内容科学合理，能够紧扣项目实际情况。 三、赋分标准（满分9分）： ①需求理解：每完全满足一个评审标准得1分，基本满足一个评审标准得0.5分，对该评审标准的响应内容模糊或存在缺陷得0.2分，未提供或完全无法满足该评审标准得0分。满分3分。 ②项目重难点分析：每完全满足一个评审标准得1分，基本满足一个评审标准得0.5分，对该评审标准的响应内容模糊或存在缺陷得0.2分，未提供或完全无法满足该评审标准得0分。满分3分。 ③解决策略：每完全满足一个评审标准得1分，基本满足一个评审标准得0.5分，对该评审标准的响应内容模糊或存在缺陷得0.2分，未提供或完全无法满足该评审标准得0分。满分3分。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一、评审内容：供应商针对本项目采购需求，提供相应的人员配备，包括：①团队人员配置明细②团队人员管理方案③团队组织架构 二、评审标准：1、完整性：内容全面，对评审内容中的各项要求有详细描述；2、可实施性：切合本项目实际情况，实施步骤清晰合理； 3、针对性：内容科学合理，能够紧扣项目实际情况。 三、赋分标准（满分12分）： ①团队人员配置明细：每满足一个评审标准得2分，基本满足一个评审标准得1分，对该评审标准的响应内容模糊或存在缺陷得0.5分，未提供或完全无法满足该评审标准得0分。满分6分。 ②团队人员管理方案：每满足一个评审标准得1分，基本满足一个评审标准得0.5分，对该评审标准的响应内容模糊或存在缺陷得0.2分，未提供或完全无法满足该评审标准得0分。满分3分。 ③团队组织架构：每满足一个评审标准得1分，基本满足一个评审标准得0.5分，对该评审标准的响应内容模糊或存在缺陷得0.2分，未提供或完全无法满足该评审标准得0分。满分3分。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监测对象范围及报告分析</w:t>
            </w:r>
          </w:p>
        </w:tc>
        <w:tc>
          <w:tcPr>
            <w:tcW w:type="dxa" w:w="2492"/>
          </w:tcPr>
          <w:p>
            <w:pPr>
              <w:pStyle w:val="null3"/>
            </w:pPr>
            <w:r>
              <w:rPr>
                <w:rFonts w:ascii="仿宋_GB2312" w:hAnsi="仿宋_GB2312" w:cs="仿宋_GB2312" w:eastAsia="仿宋_GB2312"/>
              </w:rPr>
              <w:t>一、评审内容：对项目监测对象的分析全面且深入，对项目监测范围的科学、全面且准确多个层面，系统地确定监测范围（包括但不限于节假日、专题等），同时对项目监测目的的分析深刻且全面，能够完全满足采购人要求 二、评审标准：1、完整性：内容全面，对评审内容中的各项要求有详细描述；2、可实施性：切合本项目实际情况，实施步骤清晰合理；3、针对性：内容科学合理，能够紧扣项目实际情况。 三、赋分标准（满分9分）： 进度计划安排内容每满足一个评审标准得3分，基本满足一个评审标准得2分，对该评审标准的响应内容模糊或存在缺陷得1分，未提供或完全无法满足该评审标准得0分。满分9分。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一、评审内容：供应商针对本项目服务内容，提供相应的服务承诺（包括但不限于服务时间，服务质量、服务内容等） 二、评审标准：1、完整性：内容全面，对评审内容中的各项要求有详细描述； 2、可实施性：切合本项目实际情况，实施步骤清晰合理； 3、针对性：内容科学合理，能够紧扣项目实际情况。 三、赋分标准（满分3分）：服务承诺内容每满足一个评审标准得1分，基本满足一个评审标准得0.5分，对该评审标准的响应内容模糊或存在缺陷得0.2分，未提供或完全无法满足该评审标准得0分。满分3分。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突发情况处理方案</w:t>
            </w:r>
          </w:p>
        </w:tc>
        <w:tc>
          <w:tcPr>
            <w:tcW w:type="dxa" w:w="2492"/>
          </w:tcPr>
          <w:p>
            <w:pPr>
              <w:pStyle w:val="null3"/>
            </w:pPr>
            <w:r>
              <w:rPr>
                <w:rFonts w:ascii="仿宋_GB2312" w:hAnsi="仿宋_GB2312" w:cs="仿宋_GB2312" w:eastAsia="仿宋_GB2312"/>
              </w:rPr>
              <w:t>一、评审内容：供应商针对该项目实施中可能发生的突发情况提供相应的处置方案。 二、评审标准：1、完整性：内容全面，对评审内容中的各项要求有详细描述； 2、可实施性：切合本项目实际情况，实施步骤清晰合理； 3、针对性：内容科学合理，能够紧扣项目实际情况。 三、赋分标准（满分6分）：处置方案内容每完全满足一个评审标准得2分，基本满足一个评审标准得1分，对该评审标准的响应内容模糊或存在缺陷得0.5分，未提供或完全无法满足该评审标准得0分。满分6分。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08月01日至今类似项目业绩，每提供1份得2分，最高得6分；业绩证明以合同或成交通知书为准，须在磋商响应文件中附合同或成交通知书的扫描件加盖单位公章（日期以合同签订时间或中标（成交）通知书时间为准），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价格分采用低价优先法计算，即满足磋商文件要求且磋商报价最低的供应商的价格为磋商基准价，其价格分为满分。 其他供应商的价格分统一按照下列公式计算：磋商报价得分=磋商基准价/磋商报价*100%*10。 价格分计算：四舍五入，保留两位小数。注：对符合《政府采购促进中小企业发展管理办法》（财库〔2020〕46 号）规定的小微企业报价给予10%的扣除，用扣除后的价格参加评审。监狱企业与残疾人福利性单位视同小型、微型企业，享受同等价格扣 除，当企业属性重复时，不重复价格扣除。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