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版本号：DX2025-21720250902001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互联网信息内容行政执法信息化系统运维项目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DX2025-217</w:t>
      </w:r>
      <w:r>
        <w:br/>
      </w:r>
      <w:r>
        <w:br/>
      </w:r>
      <w:r>
        <w:br/>
      </w:r>
    </w:p>
    <w:p>
      <w:pPr>
        <w:pStyle w:val="null3"/>
        <w:jc w:val="center"/>
        <w:outlineLvl w:val="2"/>
      </w:pPr>
      <w:r>
        <w:rPr>
          <w:rFonts w:ascii="仿宋_GB2312" w:hAnsi="仿宋_GB2312" w:cs="仿宋_GB2312" w:eastAsia="仿宋_GB2312"/>
          <w:sz w:val="28"/>
          <w:b/>
        </w:rPr>
        <w:t>中共西安市委网络安全和信息化委员会办公室</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中共西安市委网络安全和信息化委员会办公室</w:t>
      </w:r>
      <w:r>
        <w:rPr>
          <w:rFonts w:ascii="仿宋_GB2312" w:hAnsi="仿宋_GB2312" w:cs="仿宋_GB2312" w:eastAsia="仿宋_GB2312"/>
        </w:rPr>
        <w:t>委托，拟对</w:t>
      </w:r>
      <w:r>
        <w:rPr>
          <w:rFonts w:ascii="仿宋_GB2312" w:hAnsi="仿宋_GB2312" w:cs="仿宋_GB2312" w:eastAsia="仿宋_GB2312"/>
        </w:rPr>
        <w:t>互联网信息内容行政执法信息化系统运维项目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DX2025-217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互联网信息内容行政执法信息化系统运维项目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互联网信息内容行政执法信息化系统运维项目。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1、政府采购法第二十二条规定：1、提供统一社会信用代码的营业执照或其他组织经营的合法凭证或自然人的提供身份证明文件。 2、提供具有财务审计资质单位出具的2024年度财务报告或磋商前六个月内其基本账户银行出具的资信证明或财政部门认可的政府采购专业担保机构出具的担保函，以上形式的证明资料提供任何一种即可。 3、提供已缴存的2025年1月1日以来任意时间段的社会保障资金缴存单据或社保机构开具的社会保险参保缴费情况证明。成立时间至提交响应文件截止时间不足一个月或依法不需要缴纳社会保障资金的供应商应提供相关文件证明。 4、提供已缴纳的2025年1月1日以来任意时间段的纳税证明或完税证明，纳税证明或完税证明上应有代收机构或税务机关的公章或业务专用章。依法免税的供应商应提供相关文件证明。 5、（1）出具履行合同所必需的设备和专业技术能力的书面声明；（2）出具参加本次政府采购活动的书面声明。</w:t>
      </w:r>
    </w:p>
    <w:p>
      <w:pPr>
        <w:pStyle w:val="null3"/>
      </w:pPr>
      <w:r>
        <w:rPr>
          <w:rFonts w:ascii="仿宋_GB2312" w:hAnsi="仿宋_GB2312" w:cs="仿宋_GB2312" w:eastAsia="仿宋_GB2312"/>
        </w:rPr>
        <w:t>2、法定代表人授权委托书：法定代表人直接参加的须出具法人身份证明并于营业执照信息一致，法定代表人授权代表参加的，须出具法定代表人授权书。</w:t>
      </w:r>
    </w:p>
    <w:p>
      <w:pPr>
        <w:pStyle w:val="null3"/>
      </w:pPr>
      <w:r>
        <w:rPr>
          <w:rFonts w:ascii="仿宋_GB2312" w:hAnsi="仿宋_GB2312" w:cs="仿宋_GB2312" w:eastAsia="仿宋_GB2312"/>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4、承诺函：本项目不接受联合体投标，不得转包、分包或以其它联营挂靠形式分包给其他单位或个人，提供承诺函（格式自拟）。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中共西安市委网络安全和信息化委员会办公室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029-86782935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采购包1：148,800.00元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进一步放开建设项目专业服务价格的通知》收取。 注：代理服务费不足6000元的，按6000元收取。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中共西安市委网络安全和信息化委员会办公室</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中共西安市委网络安全和信息化委员会办公室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中共西安市委网络安全和信息化委员会办公室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联系人：张亚娜、李薇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互联网信息内容行政执法信息化系统运维项目。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148,800.00</w:t>
      </w:r>
    </w:p>
    <w:p>
      <w:pPr>
        <w:pStyle w:val="null3"/>
      </w:pPr>
      <w:r>
        <w:rPr>
          <w:rFonts w:ascii="仿宋_GB2312" w:hAnsi="仿宋_GB2312" w:cs="仿宋_GB2312" w:eastAsia="仿宋_GB2312"/>
        </w:rPr>
        <w:t>采购包最高限价（元）: 148,800.00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互联网信息内容行政执法信息化系统运维项目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标的名称：互联网信息内容行政执法信息化系统运维项目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一、项目情况</w:t>
            </w:r>
          </w:p>
          <w:p>
            <w:pPr>
              <w:pStyle w:val="null3"/>
              <w:ind w:firstLine="402"/>
              <w:jc w:val="both"/>
            </w:pPr>
            <w:r>
              <w:rPr>
                <w:rFonts w:ascii="仿宋_GB2312" w:hAnsi="仿宋_GB2312" w:cs="仿宋_GB2312" w:eastAsia="仿宋_GB2312"/>
                <w:sz w:val="20"/>
                <w:b/>
              </w:rPr>
              <w:t>（一）前期系统应用情况</w:t>
            </w:r>
          </w:p>
          <w:p>
            <w:pPr>
              <w:pStyle w:val="null3"/>
              <w:ind w:firstLine="400"/>
              <w:jc w:val="both"/>
            </w:pPr>
            <w:r>
              <w:rPr>
                <w:rFonts w:ascii="仿宋_GB2312" w:hAnsi="仿宋_GB2312" w:cs="仿宋_GB2312" w:eastAsia="仿宋_GB2312"/>
                <w:sz w:val="20"/>
              </w:rPr>
              <w:t>该系统对市域网站进行实时监测分析，抓取有害信息和违法违规行为分类固定形成电子证据，为我办工作提供技术保障。</w:t>
            </w:r>
          </w:p>
          <w:p>
            <w:pPr>
              <w:pStyle w:val="null3"/>
              <w:ind w:firstLine="402"/>
              <w:jc w:val="both"/>
            </w:pPr>
            <w:r>
              <w:rPr>
                <w:rFonts w:ascii="仿宋_GB2312" w:hAnsi="仿宋_GB2312" w:cs="仿宋_GB2312" w:eastAsia="仿宋_GB2312"/>
                <w:sz w:val="20"/>
                <w:b/>
              </w:rPr>
              <w:t>（二）本次系统运维项目主要内容</w:t>
            </w:r>
          </w:p>
          <w:p>
            <w:pPr>
              <w:pStyle w:val="null3"/>
              <w:ind w:firstLine="400"/>
              <w:jc w:val="both"/>
            </w:pPr>
            <w:r>
              <w:rPr>
                <w:rFonts w:ascii="仿宋_GB2312" w:hAnsi="仿宋_GB2312" w:cs="仿宋_GB2312" w:eastAsia="仿宋_GB2312"/>
                <w:sz w:val="20"/>
              </w:rPr>
              <w:t>对巡查后发现问题站点、异常站点进行人工核查整理，形成有效报告，并开展处置工作，开展系统日常运营技术支持，确保系统持续、安全、稳定运行，并配合我单位开展工作。</w:t>
            </w:r>
          </w:p>
          <w:p>
            <w:pPr>
              <w:pStyle w:val="null3"/>
              <w:ind w:firstLine="402"/>
              <w:jc w:val="both"/>
            </w:pPr>
            <w:r>
              <w:rPr>
                <w:rFonts w:ascii="仿宋_GB2312" w:hAnsi="仿宋_GB2312" w:cs="仿宋_GB2312" w:eastAsia="仿宋_GB2312"/>
                <w:sz w:val="20"/>
                <w:b/>
              </w:rPr>
              <w:t>二、主要工作内容</w:t>
            </w:r>
          </w:p>
          <w:p>
            <w:pPr>
              <w:pStyle w:val="null3"/>
              <w:ind w:firstLine="400"/>
              <w:jc w:val="both"/>
            </w:pPr>
            <w:r>
              <w:rPr>
                <w:rFonts w:ascii="仿宋_GB2312" w:hAnsi="仿宋_GB2312" w:cs="仿宋_GB2312" w:eastAsia="仿宋_GB2312"/>
                <w:sz w:val="20"/>
              </w:rPr>
              <w:t>互联网信息内容行政执法信息化系统运维保障服务项目主要包括如下内容：</w:t>
            </w:r>
          </w:p>
          <w:p>
            <w:pPr>
              <w:pStyle w:val="null3"/>
              <w:ind w:firstLine="402"/>
              <w:jc w:val="both"/>
            </w:pPr>
            <w:r>
              <w:rPr>
                <w:rFonts w:ascii="仿宋_GB2312" w:hAnsi="仿宋_GB2312" w:cs="仿宋_GB2312" w:eastAsia="仿宋_GB2312"/>
                <w:sz w:val="20"/>
                <w:b/>
              </w:rPr>
              <w:t>（一）数据更新</w:t>
            </w:r>
          </w:p>
          <w:p>
            <w:pPr>
              <w:pStyle w:val="null3"/>
              <w:ind w:firstLine="400"/>
              <w:jc w:val="both"/>
            </w:pPr>
            <w:r>
              <w:rPr>
                <w:rFonts w:ascii="仿宋_GB2312" w:hAnsi="仿宋_GB2312" w:cs="仿宋_GB2312" w:eastAsia="仿宋_GB2312"/>
                <w:sz w:val="20"/>
              </w:rPr>
              <w:t>完成业务平台相关数据的日常维护与支撑服务，确保数据准确性、完整性与实时性。主要工作包括：</w:t>
            </w:r>
          </w:p>
          <w:p>
            <w:pPr>
              <w:pStyle w:val="null3"/>
              <w:ind w:firstLine="400"/>
              <w:jc w:val="both"/>
            </w:pPr>
            <w:r>
              <w:rPr>
                <w:rFonts w:ascii="仿宋_GB2312" w:hAnsi="仿宋_GB2312" w:cs="仿宋_GB2312" w:eastAsia="仿宋_GB2312"/>
                <w:sz w:val="20"/>
              </w:rPr>
              <w:t>数据库及程序定期备份：每月完成全量数据和系统程序的备份工作，确保在系统故障或数据损毁时可及时恢复；</w:t>
            </w:r>
          </w:p>
          <w:p>
            <w:pPr>
              <w:pStyle w:val="null3"/>
              <w:ind w:firstLine="400"/>
              <w:jc w:val="both"/>
            </w:pPr>
            <w:r>
              <w:rPr>
                <w:rFonts w:ascii="仿宋_GB2312" w:hAnsi="仿宋_GB2312" w:cs="仿宋_GB2312" w:eastAsia="仿宋_GB2312"/>
                <w:sz w:val="20"/>
              </w:rPr>
              <w:t>属地网站巡查维护：每月对市域网站开展信息巡查，排查违法违规内容、可疑链接及失效页面等问题；</w:t>
            </w:r>
          </w:p>
          <w:p>
            <w:pPr>
              <w:pStyle w:val="null3"/>
              <w:ind w:firstLine="400"/>
              <w:jc w:val="both"/>
            </w:pPr>
            <w:r>
              <w:rPr>
                <w:rFonts w:ascii="仿宋_GB2312" w:hAnsi="仿宋_GB2312" w:cs="仿宋_GB2312" w:eastAsia="仿宋_GB2312"/>
                <w:sz w:val="20"/>
              </w:rPr>
              <w:t>违法违规数据处理：对发现的互联网违法违规数据进行分类、甄别、处理及存档；</w:t>
            </w:r>
          </w:p>
          <w:p>
            <w:pPr>
              <w:pStyle w:val="null3"/>
              <w:ind w:firstLine="400"/>
              <w:jc w:val="both"/>
            </w:pPr>
            <w:r>
              <w:rPr>
                <w:rFonts w:ascii="仿宋_GB2312" w:hAnsi="仿宋_GB2312" w:cs="仿宋_GB2312" w:eastAsia="仿宋_GB2312"/>
                <w:sz w:val="20"/>
              </w:rPr>
              <w:t>属地网络资产信息摸排与维护：协助做好属地网站、平台、账号、</w:t>
            </w:r>
            <w:r>
              <w:rPr>
                <w:rFonts w:ascii="仿宋_GB2312" w:hAnsi="仿宋_GB2312" w:cs="仿宋_GB2312" w:eastAsia="仿宋_GB2312"/>
                <w:sz w:val="20"/>
              </w:rPr>
              <w:t>MCN机构等网络主体及互联网资产的摸排梳理工作。建立并动态维护台账数据库。</w:t>
            </w:r>
          </w:p>
          <w:p>
            <w:pPr>
              <w:pStyle w:val="null3"/>
              <w:ind w:firstLine="402"/>
              <w:jc w:val="both"/>
            </w:pPr>
            <w:r>
              <w:rPr>
                <w:rFonts w:ascii="仿宋_GB2312" w:hAnsi="仿宋_GB2312" w:cs="仿宋_GB2312" w:eastAsia="仿宋_GB2312"/>
                <w:sz w:val="20"/>
                <w:b/>
              </w:rPr>
              <w:t>（二）系统运营支持</w:t>
            </w:r>
          </w:p>
          <w:p>
            <w:pPr>
              <w:pStyle w:val="null3"/>
              <w:ind w:firstLine="400"/>
              <w:jc w:val="both"/>
            </w:pPr>
            <w:r>
              <w:rPr>
                <w:rFonts w:ascii="仿宋_GB2312" w:hAnsi="仿宋_GB2312" w:cs="仿宋_GB2312" w:eastAsia="仿宋_GB2312"/>
                <w:sz w:val="20"/>
              </w:rPr>
              <w:t>1、保障系统功能模块持续稳定运行。</w:t>
            </w:r>
          </w:p>
          <w:p>
            <w:pPr>
              <w:pStyle w:val="null3"/>
              <w:ind w:firstLine="400"/>
              <w:jc w:val="both"/>
            </w:pPr>
            <w:r>
              <w:rPr>
                <w:rFonts w:ascii="仿宋_GB2312" w:hAnsi="仿宋_GB2312" w:cs="仿宋_GB2312" w:eastAsia="仿宋_GB2312"/>
                <w:sz w:val="20"/>
              </w:rPr>
              <w:t>2、安排专业的工作人员提供运维服务。</w:t>
            </w:r>
          </w:p>
          <w:p>
            <w:pPr>
              <w:pStyle w:val="null3"/>
              <w:ind w:firstLine="400"/>
              <w:jc w:val="both"/>
            </w:pPr>
            <w:r>
              <w:rPr>
                <w:rFonts w:ascii="仿宋_GB2312" w:hAnsi="仿宋_GB2312" w:cs="仿宋_GB2312" w:eastAsia="仿宋_GB2312"/>
                <w:sz w:val="20"/>
              </w:rPr>
              <w:t>3、提供技术服务保障和技术力量支持。</w:t>
            </w:r>
          </w:p>
          <w:p>
            <w:pPr>
              <w:pStyle w:val="null3"/>
              <w:ind w:firstLine="400"/>
              <w:jc w:val="both"/>
            </w:pPr>
            <w:r>
              <w:rPr>
                <w:rFonts w:ascii="仿宋_GB2312" w:hAnsi="仿宋_GB2312" w:cs="仿宋_GB2312" w:eastAsia="仿宋_GB2312"/>
                <w:sz w:val="20"/>
              </w:rPr>
              <w:t>4、持续优化完善系统功能。</w:t>
            </w:r>
          </w:p>
          <w:p>
            <w:pPr>
              <w:pStyle w:val="null3"/>
              <w:ind w:firstLine="402"/>
              <w:jc w:val="both"/>
            </w:pPr>
            <w:r>
              <w:rPr>
                <w:rFonts w:ascii="仿宋_GB2312" w:hAnsi="仿宋_GB2312" w:cs="仿宋_GB2312" w:eastAsia="仿宋_GB2312"/>
                <w:sz w:val="20"/>
                <w:b/>
              </w:rPr>
              <w:t>（三）系统安全维护：</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对行政执法系统涉及的</w:t>
            </w:r>
            <w:r>
              <w:rPr>
                <w:rFonts w:ascii="仿宋_GB2312" w:hAnsi="仿宋_GB2312" w:cs="仿宋_GB2312" w:eastAsia="仿宋_GB2312"/>
                <w:sz w:val="20"/>
              </w:rPr>
              <w:t>3个业务系统进行网络安全强化，主要工作包括：</w:t>
            </w:r>
          </w:p>
          <w:p>
            <w:pPr>
              <w:pStyle w:val="null3"/>
              <w:ind w:firstLine="400"/>
              <w:jc w:val="both"/>
            </w:pPr>
            <w:r>
              <w:rPr>
                <w:rFonts w:ascii="仿宋_GB2312" w:hAnsi="仿宋_GB2312" w:cs="仿宋_GB2312" w:eastAsia="仿宋_GB2312"/>
                <w:sz w:val="20"/>
              </w:rPr>
              <w:t>1）为服务器部署应用主机安全防护软件，并提供版本升级与策略优化；</w:t>
            </w:r>
          </w:p>
          <w:p>
            <w:pPr>
              <w:pStyle w:val="null3"/>
              <w:ind w:firstLine="400"/>
              <w:jc w:val="both"/>
            </w:pPr>
            <w:r>
              <w:rPr>
                <w:rFonts w:ascii="仿宋_GB2312" w:hAnsi="仿宋_GB2312" w:cs="仿宋_GB2312" w:eastAsia="仿宋_GB2312"/>
                <w:sz w:val="20"/>
              </w:rPr>
              <w:t>2）建立7×24小时主机安全防护机制，实时监控与阻断恶意访问行为；</w:t>
            </w:r>
          </w:p>
          <w:p>
            <w:pPr>
              <w:pStyle w:val="null3"/>
              <w:ind w:firstLine="400"/>
              <w:jc w:val="both"/>
            </w:pPr>
            <w:r>
              <w:rPr>
                <w:rFonts w:ascii="仿宋_GB2312" w:hAnsi="仿宋_GB2312" w:cs="仿宋_GB2312" w:eastAsia="仿宋_GB2312"/>
                <w:sz w:val="20"/>
              </w:rPr>
              <w:t>3）定期开展系统漏洞扫描与修复，防范常见攻击如SQL注入、XSS、拒绝服务等。</w:t>
            </w:r>
          </w:p>
          <w:p>
            <w:pPr>
              <w:pStyle w:val="null3"/>
              <w:ind w:firstLine="400"/>
              <w:jc w:val="both"/>
            </w:pPr>
            <w:r>
              <w:rPr>
                <w:rFonts w:ascii="仿宋_GB2312" w:hAnsi="仿宋_GB2312" w:cs="仿宋_GB2312" w:eastAsia="仿宋_GB2312"/>
                <w:sz w:val="20"/>
              </w:rPr>
              <w:t>2、所提供的应用主机防护能力，需包括：1）应用防护；2）主机系统防护。</w:t>
            </w:r>
          </w:p>
          <w:p>
            <w:pPr>
              <w:pStyle w:val="null3"/>
              <w:jc w:val="both"/>
            </w:pPr>
            <w:r>
              <w:rPr>
                <w:rFonts w:ascii="仿宋_GB2312" w:hAnsi="仿宋_GB2312" w:cs="仿宋_GB2312" w:eastAsia="仿宋_GB2312"/>
                <w:sz w:val="20"/>
              </w:rPr>
              <w:t xml:space="preserve">    3、数据信息安全保护，保障系统内存储的各类数据的完整性与安全性。</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供应商根据采购需求提供所需的相应设备或技术支持。</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合同签订且供应商开具增值税正式发票后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合作结束后供应商提供结案报告，经我办验收合格出具验收报告和绩效目标后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3.响应文件中凡是需要法定代表人盖章之处，由分支机构参与投标时，单位负责人均参照执行（法定代表人授权书由单位负责人签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1、提供统一社会信用代码的营业执照或其他组织经营的合法凭证或自然人的提供身份证明文件。 2、提供具有财务审计资质单位出具的2024年度财务报告或磋商前六个月内其基本账户银行出具的资信证明或财政部门认可的政府采购专业担保机构出具的担保函，以上形式的证明资料提供任何一种即可。 3、提供已缴存的2025年1月1日以来任意时间段的社会保障资金缴存单据或社保机构开具的社会保险参保缴费情况证明。成立时间至提交响应文件截止时间不足一个月或依法不需要缴纳社会保障资金的供应商应提供相关文件证明。 4、提供已缴纳的2025年1月1日以来任意时间段的纳税证明或完税证明，纳税证明或完税证明上应有代收机构或税务机关的公章或业务专用章。依法免税的供应商应提供相关文件证明。 5、（1）出具履行合同所必需的设备和专业技术能力的书面声明；（2）出具参加本次政府采购活动的书面声明。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法定代表人直接参加的须出具法人身份证明并于营业执照信息一致，法定代表人授权代表参加的，须出具法定代表人授权书。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本项目不接受联合体投标，不得转包、分包或以其它联营挂靠形式分包给其他单位或个人，提供承诺函（格式自拟）。</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 （2）完全理解并接受《供应商企业关系关联承诺书》内容。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合同主要条款响应偏差表</w:t>
            </w:r>
          </w:p>
          <w:p>
            <w:pPr>
              <w:pStyle w:val="null3"/>
            </w:pPr>
            <w:r>
              <w:rPr>
                <w:rFonts w:ascii="仿宋_GB2312" w:hAnsi="仿宋_GB2312" w:cs="仿宋_GB2312" w:eastAsia="仿宋_GB2312"/>
              </w:rPr>
              <w:t>供应商认为有必要补充说明的事项</w:t>
            </w:r>
          </w:p>
        </w:tc>
      </w:tr>
      <w:tr>
        <w:tc>
          <w:tcPr>
            <w:tcW w:type="dxa" w:w="831"/>
            <w:vMerge/>
          </w:tcPr>
          <w:p/>
        </w:tc>
        <w:tc>
          <w:tcPr>
            <w:tcW w:type="dxa" w:w="1661"/>
          </w:tcPr>
          <w:p>
            <w:pPr>
              <w:pStyle w:val="null3"/>
            </w:pPr>
            <w:r>
              <w:rPr>
                <w:rFonts w:ascii="仿宋_GB2312" w:hAnsi="仿宋_GB2312" w:cs="仿宋_GB2312" w:eastAsia="仿宋_GB2312"/>
              </w:rPr>
              <w:t>项目总体理解</w:t>
            </w:r>
          </w:p>
        </w:tc>
        <w:tc>
          <w:tcPr>
            <w:tcW w:type="dxa" w:w="2492"/>
          </w:tcPr>
          <w:p>
            <w:pPr>
              <w:pStyle w:val="null3"/>
            </w:pPr>
            <w:r>
              <w:rPr>
                <w:rFonts w:ascii="仿宋_GB2312" w:hAnsi="仿宋_GB2312" w:cs="仿宋_GB2312" w:eastAsia="仿宋_GB2312"/>
              </w:rPr>
              <w:t>一、评审内容 针对本项目提供详细的项目总体理解，包括但不限于： ①对本项目的总体认识； ②对本项目的理解。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上述2项评审内容全部满足评审标准得10分，每有一个评审内容缺项扣5分，每有一项评审内容存在缺陷，扣（0-5）分，扣完为止。 说明：缺陷是指内容没有结合项目实际需求、虽有内容但不完善、内容表述前后不一致、套用其他项目方案或与项目需求不匹配及其他不利于项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针对本项目提供详细的实施方案，包括但不限于： ①数据更新方案； ②系统运营支持方案； ③系统安全维护方案； ④针对本项目的应急预案； ⑤合理化建议。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上述5项评审内容全部满足评审标准得25分，每有一个评审内容缺项扣5分，每有一项评审内容存在缺陷，扣（0-5）分，扣完为止。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针对本项目提供详细的保障措施，包括但不限于： ①进度计划安排； ②进度及响应时效保障措施； ③项目管理方案； ④针对本项目制定的保障方案，包括但不限于风险控制要点、风险控制等。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针对本项目提供详细的服务承诺，包括但不限于： ①质量控制措施； ②制定完善的各项规章制度等内容； ③针对本项目的质量保证承诺。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上述3项评审内容全部满足评审标准得9分，每有一个评审内容缺项扣3分，每有一项评审内容存在缺陷，扣（0-3）分，扣完为止。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针对本项目提供详细的人员配备包括但不限于： ①有针对本项目的专业服务团队，人员配备数量充足； ②人员组织结构合理，有明确的岗位职责。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供应商具备充分的信息技术服务能力。具有信息系统安全运维资质、质量管理体系资质、高新技术企业证书，每提供1类证书计2分，最高得6分,未提供不得分。评审依据：提供资质证书复印件并加盖公章。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供应商提供2022年7月1日至今类似项目业绩合同（以合同签订时间为准）；一个业绩得2分，最高得6分； 评审依据：提供合同复印件并加盖公章。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费用组成明细表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详见附件：合同主要条款响应偏差表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详见附件：近年类似业绩的有关证明材料</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