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C978B">
      <w:pPr>
        <w:pStyle w:val="10"/>
        <w:jc w:val="center"/>
        <w:outlineLvl w:val="1"/>
        <w:rPr>
          <w:highlight w:val="none"/>
        </w:rPr>
      </w:pPr>
      <w:r>
        <w:rPr>
          <w:b/>
          <w:sz w:val="36"/>
          <w:highlight w:val="none"/>
        </w:rPr>
        <w:t>第七章 拟签订合同文本</w:t>
      </w:r>
    </w:p>
    <w:tbl>
      <w:tblPr>
        <w:tblStyle w:val="8"/>
        <w:tblW w:w="14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tblGrid>
      <w:tr w14:paraId="737D1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0" w:hRule="atLeast"/>
        </w:trPr>
        <w:tc>
          <w:tcPr>
            <w:tcW w:w="1418" w:type="dxa"/>
            <w:tcBorders>
              <w:top w:val="single" w:color="auto" w:sz="4" w:space="0"/>
              <w:left w:val="single" w:color="auto" w:sz="4" w:space="0"/>
              <w:bottom w:val="single" w:color="auto" w:sz="4" w:space="0"/>
              <w:right w:val="single" w:color="auto" w:sz="4" w:space="0"/>
            </w:tcBorders>
            <w:noWrap/>
          </w:tcPr>
          <w:p w14:paraId="088E1086">
            <w:pPr>
              <w:rPr>
                <w:sz w:val="30"/>
                <w:szCs w:val="30"/>
                <w:highlight w:val="none"/>
              </w:rPr>
            </w:pPr>
            <w:bookmarkStart w:id="0" w:name="_GoBack"/>
            <w:r>
              <w:rPr>
                <w:rFonts w:ascii="仿宋" w:hAnsi="仿宋" w:eastAsia="黑体"/>
                <w:b/>
                <w:color w:val="FF0000"/>
                <w:sz w:val="30"/>
                <w:szCs w:val="30"/>
                <w:highlight w:val="none"/>
              </w:rPr>
              <w:drawing>
                <wp:anchor distT="0" distB="0" distL="114300" distR="114300" simplePos="0" relativeHeight="251659264" behindDoc="1" locked="0" layoutInCell="1" allowOverlap="1">
                  <wp:simplePos x="0" y="0"/>
                  <wp:positionH relativeFrom="column">
                    <wp:posOffset>3233420</wp:posOffset>
                  </wp:positionH>
                  <wp:positionV relativeFrom="paragraph">
                    <wp:posOffset>116840</wp:posOffset>
                  </wp:positionV>
                  <wp:extent cx="2276475" cy="771525"/>
                  <wp:effectExtent l="0" t="0" r="9525" b="0"/>
                  <wp:wrapNone/>
                  <wp:docPr id="1" name="图片 1" descr="五院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五院logo"/>
                          <pic:cNvPicPr>
                            <a:picLocks noChangeAspect="1"/>
                          </pic:cNvPicPr>
                        </pic:nvPicPr>
                        <pic:blipFill>
                          <a:blip r:embed="rId4"/>
                          <a:stretch>
                            <a:fillRect/>
                          </a:stretch>
                        </pic:blipFill>
                        <pic:spPr>
                          <a:xfrm>
                            <a:off x="0" y="0"/>
                            <a:ext cx="2276475" cy="771525"/>
                          </a:xfrm>
                          <a:prstGeom prst="rect">
                            <a:avLst/>
                          </a:prstGeom>
                        </pic:spPr>
                      </pic:pic>
                    </a:graphicData>
                  </a:graphic>
                </wp:anchor>
              </w:drawing>
            </w:r>
            <w:bookmarkEnd w:id="0"/>
            <w:r>
              <w:rPr>
                <w:rFonts w:hint="eastAsia" w:ascii="黑体" w:eastAsia="黑体"/>
                <w:b/>
                <w:sz w:val="32"/>
                <w:szCs w:val="32"/>
                <w:highlight w:val="none"/>
              </w:rPr>
              <w:t>院内</w:t>
            </w:r>
          </w:p>
        </w:tc>
      </w:tr>
    </w:tbl>
    <w:p w14:paraId="26283AEF">
      <w:pPr>
        <w:rPr>
          <w:rFonts w:ascii="仿宋" w:hAnsi="仿宋" w:eastAsia="黑体"/>
          <w:b/>
          <w:sz w:val="30"/>
          <w:szCs w:val="30"/>
          <w:highlight w:val="none"/>
        </w:rPr>
      </w:pPr>
      <w:r>
        <w:rPr>
          <w:rFonts w:hint="eastAsia" w:ascii="黑体" w:eastAsia="黑体"/>
          <w:b/>
          <w:sz w:val="32"/>
          <w:szCs w:val="32"/>
          <w:highlight w:val="none"/>
        </w:rPr>
        <w:t>合同编号：</w:t>
      </w:r>
    </w:p>
    <w:p w14:paraId="736B6382">
      <w:pPr>
        <w:ind w:left="240" w:hanging="240" w:hangingChars="50"/>
        <w:jc w:val="left"/>
        <w:rPr>
          <w:sz w:val="48"/>
          <w:szCs w:val="48"/>
          <w:highlight w:val="none"/>
        </w:rPr>
      </w:pPr>
    </w:p>
    <w:p w14:paraId="783AD173">
      <w:pPr>
        <w:ind w:left="240" w:hanging="240" w:hangingChars="50"/>
        <w:jc w:val="center"/>
        <w:rPr>
          <w:sz w:val="48"/>
          <w:szCs w:val="48"/>
          <w:highlight w:val="none"/>
        </w:rPr>
      </w:pPr>
    </w:p>
    <w:p w14:paraId="755FEBB5">
      <w:pPr>
        <w:widowControl/>
        <w:spacing w:line="270" w:lineRule="atLeast"/>
        <w:jc w:val="center"/>
        <w:rPr>
          <w:b/>
          <w:sz w:val="48"/>
          <w:szCs w:val="48"/>
          <w:highlight w:val="none"/>
        </w:rPr>
      </w:pPr>
    </w:p>
    <w:p w14:paraId="1D040C79">
      <w:pPr>
        <w:widowControl/>
        <w:spacing w:line="270" w:lineRule="atLeast"/>
        <w:jc w:val="center"/>
        <w:rPr>
          <w:b/>
          <w:sz w:val="48"/>
          <w:szCs w:val="48"/>
          <w:highlight w:val="none"/>
        </w:rPr>
      </w:pPr>
    </w:p>
    <w:p w14:paraId="2437FB92">
      <w:pPr>
        <w:widowControl/>
        <w:spacing w:line="270" w:lineRule="atLeast"/>
        <w:jc w:val="center"/>
        <w:rPr>
          <w:b/>
          <w:sz w:val="48"/>
          <w:szCs w:val="48"/>
          <w:highlight w:val="none"/>
        </w:rPr>
      </w:pPr>
      <w:r>
        <w:rPr>
          <w:rFonts w:hint="eastAsia"/>
          <w:b/>
          <w:sz w:val="48"/>
          <w:szCs w:val="48"/>
          <w:highlight w:val="none"/>
        </w:rPr>
        <w:t>西安市第五医院</w:t>
      </w:r>
    </w:p>
    <w:p w14:paraId="70641715">
      <w:pPr>
        <w:pStyle w:val="5"/>
        <w:rPr>
          <w:b/>
          <w:sz w:val="72"/>
          <w:szCs w:val="72"/>
          <w:highlight w:val="none"/>
        </w:rPr>
      </w:pPr>
    </w:p>
    <w:p w14:paraId="4F8E20C9">
      <w:pPr>
        <w:pStyle w:val="2"/>
        <w:widowControl/>
        <w:spacing w:beforeAutospacing="0" w:afterAutospacing="0" w:line="17" w:lineRule="atLeast"/>
        <w:jc w:val="center"/>
        <w:rPr>
          <w:rFonts w:hint="default" w:asciiTheme="minorEastAsia" w:hAnsiTheme="minorEastAsia" w:eastAsiaTheme="minorEastAsia" w:cstheme="minorEastAsia"/>
          <w:snapToGrid w:val="0"/>
          <w:spacing w:val="-17"/>
          <w:highlight w:val="none"/>
        </w:rPr>
      </w:pPr>
      <w:r>
        <w:rPr>
          <w:rFonts w:asciiTheme="minorEastAsia" w:hAnsiTheme="minorEastAsia" w:eastAsiaTheme="minorEastAsia" w:cstheme="minorEastAsia"/>
          <w:bCs w:val="0"/>
          <w:kern w:val="2"/>
          <w:highlight w:val="none"/>
        </w:rPr>
        <w:t>安防系统建设项目</w:t>
      </w:r>
    </w:p>
    <w:p w14:paraId="34BF2567">
      <w:pPr>
        <w:rPr>
          <w:sz w:val="48"/>
          <w:szCs w:val="48"/>
          <w:highlight w:val="none"/>
        </w:rPr>
      </w:pPr>
    </w:p>
    <w:p w14:paraId="3F455B97">
      <w:pPr>
        <w:rPr>
          <w:sz w:val="48"/>
          <w:szCs w:val="48"/>
          <w:highlight w:val="none"/>
        </w:rPr>
      </w:pPr>
    </w:p>
    <w:p w14:paraId="75BCE5D4">
      <w:pPr>
        <w:pStyle w:val="5"/>
        <w:rPr>
          <w:b/>
          <w:sz w:val="48"/>
          <w:szCs w:val="48"/>
          <w:highlight w:val="none"/>
        </w:rPr>
      </w:pPr>
    </w:p>
    <w:p w14:paraId="601A030C">
      <w:pPr>
        <w:jc w:val="center"/>
        <w:rPr>
          <w:rFonts w:ascii="黑体" w:eastAsia="黑体"/>
          <w:b/>
          <w:sz w:val="72"/>
          <w:szCs w:val="72"/>
          <w:highlight w:val="none"/>
        </w:rPr>
      </w:pPr>
      <w:r>
        <w:rPr>
          <w:rFonts w:hint="eastAsia" w:ascii="黑体" w:eastAsia="黑体"/>
          <w:b/>
          <w:sz w:val="72"/>
          <w:szCs w:val="72"/>
          <w:highlight w:val="none"/>
        </w:rPr>
        <w:t>买 卖</w:t>
      </w:r>
      <w:r>
        <w:rPr>
          <w:rFonts w:hint="eastAsia" w:ascii="黑体" w:eastAsia="黑体"/>
          <w:b/>
          <w:color w:val="FF0000"/>
          <w:sz w:val="72"/>
          <w:szCs w:val="72"/>
          <w:highlight w:val="none"/>
        </w:rPr>
        <w:t xml:space="preserve"> </w:t>
      </w:r>
      <w:r>
        <w:rPr>
          <w:rFonts w:hint="eastAsia" w:ascii="黑体" w:eastAsia="黑体"/>
          <w:b/>
          <w:sz w:val="72"/>
          <w:szCs w:val="72"/>
          <w:highlight w:val="none"/>
        </w:rPr>
        <w:t>合 同</w:t>
      </w:r>
    </w:p>
    <w:p w14:paraId="7207084F">
      <w:pPr>
        <w:pStyle w:val="11"/>
        <w:shd w:val="clear" w:color="auto" w:fill="FFFFFF"/>
        <w:adjustRightInd w:val="0"/>
        <w:snapToGrid w:val="0"/>
        <w:spacing w:before="0" w:beforeAutospacing="0" w:after="0" w:afterAutospacing="0" w:line="360" w:lineRule="auto"/>
        <w:jc w:val="both"/>
        <w:rPr>
          <w:rFonts w:ascii="Times New Roman" w:hAnsi="Times New Roman" w:cs="Times New Roman"/>
          <w:b/>
          <w:bCs/>
          <w:sz w:val="44"/>
          <w:szCs w:val="44"/>
          <w:highlight w:val="none"/>
        </w:rPr>
      </w:pPr>
    </w:p>
    <w:p w14:paraId="5D92518A">
      <w:pPr>
        <w:pStyle w:val="11"/>
        <w:shd w:val="clear" w:color="auto" w:fill="FFFFFF"/>
        <w:adjustRightInd w:val="0"/>
        <w:snapToGrid w:val="0"/>
        <w:spacing w:before="0" w:beforeAutospacing="0" w:after="0" w:afterAutospacing="0" w:line="360" w:lineRule="auto"/>
        <w:jc w:val="both"/>
        <w:rPr>
          <w:rFonts w:ascii="Times New Roman" w:hAnsi="Times New Roman" w:cs="Times New Roman"/>
          <w:b/>
          <w:bCs/>
          <w:sz w:val="44"/>
          <w:szCs w:val="44"/>
          <w:highlight w:val="none"/>
        </w:rPr>
      </w:pPr>
    </w:p>
    <w:p w14:paraId="7F8437BD">
      <w:pPr>
        <w:pStyle w:val="11"/>
        <w:shd w:val="clear" w:color="auto" w:fill="FFFFFF"/>
        <w:adjustRightInd w:val="0"/>
        <w:snapToGrid w:val="0"/>
        <w:spacing w:before="0" w:beforeAutospacing="0" w:after="0" w:afterAutospacing="0" w:line="360" w:lineRule="auto"/>
        <w:jc w:val="both"/>
        <w:rPr>
          <w:rFonts w:ascii="Times New Roman" w:hAnsi="Times New Roman" w:cs="Times New Roman"/>
          <w:b/>
          <w:bCs/>
          <w:sz w:val="44"/>
          <w:szCs w:val="44"/>
          <w:highlight w:val="none"/>
        </w:rPr>
      </w:pPr>
    </w:p>
    <w:p w14:paraId="24D3BD8B">
      <w:pPr>
        <w:adjustRightInd w:val="0"/>
        <w:snapToGrid w:val="0"/>
        <w:spacing w:line="360" w:lineRule="auto"/>
        <w:ind w:firstLine="640" w:firstLineChars="200"/>
        <w:rPr>
          <w:rFonts w:ascii="黑体" w:eastAsia="黑体"/>
          <w:sz w:val="32"/>
          <w:szCs w:val="32"/>
          <w:highlight w:val="none"/>
        </w:rPr>
      </w:pPr>
      <w:r>
        <w:rPr>
          <w:rFonts w:hint="eastAsia" w:ascii="黑体" w:eastAsia="黑体"/>
          <w:sz w:val="32"/>
          <w:szCs w:val="32"/>
          <w:highlight w:val="none"/>
        </w:rPr>
        <w:t xml:space="preserve">甲  方：西安市第五医院 </w:t>
      </w:r>
    </w:p>
    <w:p w14:paraId="5DBB05EE">
      <w:pPr>
        <w:adjustRightInd w:val="0"/>
        <w:snapToGrid w:val="0"/>
        <w:spacing w:line="360" w:lineRule="auto"/>
        <w:ind w:firstLine="640" w:firstLineChars="200"/>
        <w:rPr>
          <w:rFonts w:ascii="宋体" w:hAnsi="宋体"/>
          <w:bCs/>
          <w:sz w:val="36"/>
          <w:szCs w:val="36"/>
          <w:highlight w:val="none"/>
        </w:rPr>
      </w:pPr>
      <w:r>
        <w:rPr>
          <w:rFonts w:hint="eastAsia" w:ascii="黑体" w:eastAsia="黑体"/>
          <w:sz w:val="32"/>
          <w:szCs w:val="32"/>
          <w:highlight w:val="none"/>
        </w:rPr>
        <w:t>乙  方：</w:t>
      </w:r>
    </w:p>
    <w:p w14:paraId="77C4A2B9">
      <w:pPr>
        <w:pStyle w:val="5"/>
        <w:jc w:val="center"/>
        <w:rPr>
          <w:rFonts w:ascii="黑体" w:eastAsia="黑体"/>
          <w:sz w:val="32"/>
          <w:szCs w:val="32"/>
          <w:highlight w:val="none"/>
        </w:rPr>
      </w:pPr>
      <w:r>
        <w:rPr>
          <w:rFonts w:hint="eastAsia" w:ascii="黑体" w:eastAsia="黑体"/>
          <w:sz w:val="32"/>
          <w:szCs w:val="32"/>
          <w:highlight w:val="none"/>
        </w:rPr>
        <w:t>2024年  月</w:t>
      </w:r>
    </w:p>
    <w:p w14:paraId="32F31E78">
      <w:pPr>
        <w:pStyle w:val="10"/>
        <w:rPr>
          <w:highlight w:val="none"/>
        </w:rPr>
      </w:pPr>
      <w:r>
        <w:rPr>
          <w:highlight w:val="none"/>
        </w:rPr>
        <w:br w:type="page"/>
      </w:r>
    </w:p>
    <w:p w14:paraId="0F307AFE">
      <w:pPr>
        <w:spacing w:line="480" w:lineRule="auto"/>
        <w:rPr>
          <w:rFonts w:ascii="宋体" w:hAnsi="宋体" w:cs="仿宋_GB2312"/>
          <w:b/>
          <w:bCs/>
          <w:sz w:val="24"/>
          <w:szCs w:val="24"/>
          <w:highlight w:val="none"/>
        </w:rPr>
      </w:pPr>
      <w:r>
        <w:rPr>
          <w:rFonts w:hint="eastAsia" w:ascii="宋体" w:hAnsi="宋体" w:cs="仿宋_GB2312"/>
          <w:b/>
          <w:bCs/>
          <w:sz w:val="24"/>
          <w:szCs w:val="24"/>
          <w:highlight w:val="none"/>
        </w:rPr>
        <w:t>甲方：西安市第五医院</w:t>
      </w:r>
    </w:p>
    <w:p w14:paraId="26528826">
      <w:pPr>
        <w:spacing w:line="480" w:lineRule="auto"/>
        <w:rPr>
          <w:rFonts w:ascii="宋体" w:hAnsi="宋体" w:cs="宋体"/>
          <w:b/>
          <w:bCs/>
          <w:sz w:val="24"/>
          <w:szCs w:val="24"/>
          <w:highlight w:val="none"/>
        </w:rPr>
      </w:pPr>
      <w:r>
        <w:rPr>
          <w:rFonts w:hint="eastAsia" w:ascii="宋体" w:hAnsi="宋体" w:cs="仿宋_GB2312"/>
          <w:b/>
          <w:bCs/>
          <w:sz w:val="24"/>
          <w:szCs w:val="24"/>
          <w:highlight w:val="none"/>
        </w:rPr>
        <w:t>乙方：</w:t>
      </w:r>
    </w:p>
    <w:p w14:paraId="74F764C4">
      <w:pPr>
        <w:snapToGrid w:val="0"/>
        <w:spacing w:before="78" w:beforeLines="25" w:after="78" w:afterLines="25" w:line="360" w:lineRule="auto"/>
        <w:ind w:firstLine="480" w:firstLineChars="200"/>
        <w:rPr>
          <w:rFonts w:asciiTheme="minorEastAsia" w:hAnsiTheme="minorEastAsia" w:eastAsiaTheme="minorEastAsia" w:cstheme="minorEastAsia"/>
          <w:kern w:val="6"/>
          <w:sz w:val="24"/>
          <w:szCs w:val="24"/>
          <w:highlight w:val="none"/>
        </w:rPr>
      </w:pPr>
      <w:r>
        <w:rPr>
          <w:rFonts w:hint="eastAsia" w:asciiTheme="minorEastAsia" w:hAnsiTheme="minorEastAsia" w:eastAsiaTheme="minorEastAsia" w:cstheme="minorEastAsia"/>
          <w:kern w:val="6"/>
          <w:sz w:val="24"/>
          <w:szCs w:val="24"/>
          <w:highlight w:val="none"/>
        </w:rPr>
        <w:t>按照《中华人民共和国民法典》及其他有关法律、行政法规的规定，结合本项目具体情况，经双方平等协商，达成一致，订立本合同，以资双方共同遵守。</w:t>
      </w:r>
    </w:p>
    <w:p w14:paraId="521288C1">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一、项目概况</w:t>
      </w:r>
    </w:p>
    <w:p w14:paraId="1910FD69">
      <w:pPr>
        <w:spacing w:line="360" w:lineRule="auto"/>
        <w:rPr>
          <w:rFonts w:asciiTheme="minorEastAsia" w:hAnsiTheme="minorEastAsia" w:eastAsiaTheme="minorEastAsia" w:cstheme="minorEastAsia"/>
          <w:kern w:val="6"/>
          <w:sz w:val="24"/>
          <w:szCs w:val="24"/>
          <w:highlight w:val="none"/>
        </w:rPr>
      </w:pPr>
      <w:r>
        <w:rPr>
          <w:rFonts w:hint="eastAsia" w:asciiTheme="minorEastAsia" w:hAnsiTheme="minorEastAsia" w:eastAsiaTheme="minorEastAsia" w:cstheme="minorEastAsia"/>
          <w:kern w:val="6"/>
          <w:sz w:val="24"/>
          <w:szCs w:val="24"/>
          <w:highlight w:val="none"/>
        </w:rPr>
        <w:t>1、项目地点：</w:t>
      </w:r>
      <w:r>
        <w:rPr>
          <w:rFonts w:hint="eastAsia" w:asciiTheme="minorEastAsia" w:hAnsiTheme="minorEastAsia" w:eastAsiaTheme="minorEastAsia" w:cstheme="minorEastAsia"/>
          <w:sz w:val="24"/>
          <w:szCs w:val="24"/>
          <w:highlight w:val="none"/>
        </w:rPr>
        <w:t>西安市第五医院院内（</w:t>
      </w:r>
      <w:r>
        <w:rPr>
          <w:rFonts w:hint="eastAsia" w:ascii="宋体" w:hAnsi="宋体" w:cs="仿宋_GB2312"/>
          <w:sz w:val="24"/>
          <w:szCs w:val="24"/>
          <w:highlight w:val="none"/>
        </w:rPr>
        <w:t>西安市莲湖区西关正街112号</w:t>
      </w:r>
      <w:r>
        <w:rPr>
          <w:rFonts w:hint="eastAsia" w:asciiTheme="minorEastAsia" w:hAnsiTheme="minorEastAsia" w:eastAsiaTheme="minorEastAsia" w:cstheme="minorEastAsia"/>
          <w:sz w:val="24"/>
          <w:szCs w:val="24"/>
          <w:highlight w:val="none"/>
        </w:rPr>
        <w:t>）</w:t>
      </w:r>
    </w:p>
    <w:p w14:paraId="1E611075">
      <w:pPr>
        <w:spacing w:line="360" w:lineRule="auto"/>
        <w:ind w:left="1680" w:hanging="1680" w:hangingChars="700"/>
        <w:rPr>
          <w:rFonts w:asciiTheme="minorEastAsia" w:hAnsiTheme="minorEastAsia" w:eastAsiaTheme="minorEastAsia" w:cstheme="minorEastAsia"/>
          <w:bCs/>
          <w:kern w:val="6"/>
          <w:sz w:val="24"/>
          <w:szCs w:val="24"/>
          <w:highlight w:val="none"/>
        </w:rPr>
      </w:pPr>
      <w:r>
        <w:rPr>
          <w:rFonts w:hint="eastAsia" w:asciiTheme="minorEastAsia" w:hAnsiTheme="minorEastAsia" w:eastAsiaTheme="minorEastAsia" w:cstheme="minorEastAsia"/>
          <w:bCs/>
          <w:kern w:val="6"/>
          <w:sz w:val="24"/>
          <w:szCs w:val="24"/>
          <w:highlight w:val="none"/>
        </w:rPr>
        <w:t>2、项目内容：</w:t>
      </w:r>
    </w:p>
    <w:tbl>
      <w:tblPr>
        <w:tblStyle w:val="8"/>
        <w:tblW w:w="91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3032"/>
        <w:gridCol w:w="764"/>
        <w:gridCol w:w="915"/>
        <w:gridCol w:w="1815"/>
        <w:gridCol w:w="1011"/>
        <w:gridCol w:w="838"/>
      </w:tblGrid>
      <w:tr w14:paraId="3B97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788" w:type="dxa"/>
            <w:tcBorders>
              <w:top w:val="single" w:color="auto" w:sz="4" w:space="0"/>
              <w:left w:val="single" w:color="auto" w:sz="4" w:space="0"/>
              <w:bottom w:val="single" w:color="auto" w:sz="4" w:space="0"/>
              <w:right w:val="single" w:color="auto" w:sz="4" w:space="0"/>
            </w:tcBorders>
          </w:tcPr>
          <w:p w14:paraId="290989A4">
            <w:pPr>
              <w:spacing w:before="183"/>
              <w:jc w:val="center"/>
              <w:rPr>
                <w:rFonts w:ascii="宋体" w:hAnsi="宋体" w:cs="宋体"/>
                <w:b/>
                <w:bCs/>
                <w:sz w:val="24"/>
                <w:szCs w:val="24"/>
                <w:highlight w:val="none"/>
              </w:rPr>
            </w:pPr>
            <w:r>
              <w:rPr>
                <w:rFonts w:hint="eastAsia" w:ascii="宋体" w:hAnsi="宋体" w:cs="宋体"/>
                <w:b/>
                <w:bCs/>
                <w:sz w:val="24"/>
                <w:szCs w:val="24"/>
                <w:highlight w:val="none"/>
              </w:rPr>
              <w:t>序号</w:t>
            </w:r>
          </w:p>
        </w:tc>
        <w:tc>
          <w:tcPr>
            <w:tcW w:w="3032" w:type="dxa"/>
            <w:tcBorders>
              <w:top w:val="single" w:color="auto" w:sz="4" w:space="0"/>
              <w:left w:val="single" w:color="auto" w:sz="4" w:space="0"/>
              <w:bottom w:val="single" w:color="auto" w:sz="4" w:space="0"/>
              <w:right w:val="single" w:color="auto" w:sz="4" w:space="0"/>
            </w:tcBorders>
          </w:tcPr>
          <w:p w14:paraId="0A130218">
            <w:pPr>
              <w:spacing w:before="183"/>
              <w:jc w:val="center"/>
              <w:rPr>
                <w:rFonts w:ascii="宋体" w:hAnsi="宋体" w:cs="宋体"/>
                <w:b/>
                <w:bCs/>
                <w:sz w:val="24"/>
                <w:szCs w:val="24"/>
                <w:highlight w:val="none"/>
              </w:rPr>
            </w:pPr>
            <w:r>
              <w:rPr>
                <w:rFonts w:hint="eastAsia" w:ascii="宋体" w:hAnsi="宋体" w:cs="宋体"/>
                <w:b/>
                <w:bCs/>
                <w:sz w:val="24"/>
                <w:szCs w:val="24"/>
                <w:highlight w:val="none"/>
              </w:rPr>
              <w:t>项目名称</w:t>
            </w:r>
          </w:p>
        </w:tc>
        <w:tc>
          <w:tcPr>
            <w:tcW w:w="764" w:type="dxa"/>
            <w:tcBorders>
              <w:top w:val="single" w:color="auto" w:sz="4" w:space="0"/>
              <w:left w:val="single" w:color="auto" w:sz="4" w:space="0"/>
              <w:bottom w:val="single" w:color="auto" w:sz="4" w:space="0"/>
              <w:right w:val="single" w:color="auto" w:sz="4" w:space="0"/>
            </w:tcBorders>
          </w:tcPr>
          <w:p w14:paraId="0CBB25EC">
            <w:pPr>
              <w:spacing w:before="183"/>
              <w:jc w:val="center"/>
              <w:rPr>
                <w:rFonts w:ascii="宋体" w:hAnsi="宋体" w:cs="宋体"/>
                <w:b/>
                <w:bCs/>
                <w:sz w:val="24"/>
                <w:szCs w:val="24"/>
                <w:highlight w:val="none"/>
              </w:rPr>
            </w:pPr>
            <w:r>
              <w:rPr>
                <w:rFonts w:hint="eastAsia" w:ascii="宋体" w:hAnsi="宋体" w:cs="宋体"/>
                <w:b/>
                <w:bCs/>
                <w:sz w:val="24"/>
                <w:szCs w:val="24"/>
                <w:highlight w:val="none"/>
              </w:rPr>
              <w:t>单位</w:t>
            </w:r>
          </w:p>
        </w:tc>
        <w:tc>
          <w:tcPr>
            <w:tcW w:w="915" w:type="dxa"/>
            <w:tcBorders>
              <w:top w:val="single" w:color="auto" w:sz="4" w:space="0"/>
              <w:left w:val="single" w:color="auto" w:sz="4" w:space="0"/>
              <w:bottom w:val="single" w:color="auto" w:sz="4" w:space="0"/>
              <w:right w:val="single" w:color="auto" w:sz="4" w:space="0"/>
            </w:tcBorders>
          </w:tcPr>
          <w:p w14:paraId="1C73B797">
            <w:pPr>
              <w:spacing w:before="183"/>
              <w:jc w:val="center"/>
              <w:rPr>
                <w:rFonts w:ascii="宋体" w:hAnsi="宋体" w:cs="宋体"/>
                <w:b/>
                <w:bCs/>
                <w:sz w:val="24"/>
                <w:szCs w:val="24"/>
                <w:highlight w:val="none"/>
              </w:rPr>
            </w:pPr>
            <w:r>
              <w:rPr>
                <w:rFonts w:hint="eastAsia" w:ascii="宋体" w:hAnsi="宋体" w:cs="宋体"/>
                <w:b/>
                <w:bCs/>
                <w:sz w:val="24"/>
                <w:szCs w:val="24"/>
                <w:highlight w:val="none"/>
              </w:rPr>
              <w:t>数量</w:t>
            </w:r>
          </w:p>
        </w:tc>
        <w:tc>
          <w:tcPr>
            <w:tcW w:w="1815" w:type="dxa"/>
            <w:tcBorders>
              <w:top w:val="single" w:color="auto" w:sz="4" w:space="0"/>
              <w:left w:val="single" w:color="auto" w:sz="4" w:space="0"/>
              <w:bottom w:val="single" w:color="auto" w:sz="4" w:space="0"/>
              <w:right w:val="single" w:color="auto" w:sz="4" w:space="0"/>
            </w:tcBorders>
          </w:tcPr>
          <w:p w14:paraId="1CC5B837">
            <w:pPr>
              <w:spacing w:before="183"/>
              <w:jc w:val="center"/>
              <w:rPr>
                <w:rFonts w:ascii="宋体" w:hAnsi="宋体" w:cs="宋体"/>
                <w:b/>
                <w:bCs/>
                <w:sz w:val="24"/>
                <w:szCs w:val="24"/>
                <w:highlight w:val="none"/>
              </w:rPr>
            </w:pPr>
            <w:r>
              <w:rPr>
                <w:rFonts w:hint="eastAsia" w:ascii="宋体" w:hAnsi="宋体" w:cs="宋体"/>
                <w:b/>
                <w:bCs/>
                <w:sz w:val="24"/>
                <w:szCs w:val="24"/>
                <w:highlight w:val="none"/>
              </w:rPr>
              <w:t>规格型号</w:t>
            </w:r>
          </w:p>
        </w:tc>
        <w:tc>
          <w:tcPr>
            <w:tcW w:w="1011" w:type="dxa"/>
            <w:tcBorders>
              <w:top w:val="single" w:color="auto" w:sz="4" w:space="0"/>
              <w:left w:val="single" w:color="auto" w:sz="4" w:space="0"/>
              <w:bottom w:val="single" w:color="auto" w:sz="4" w:space="0"/>
              <w:right w:val="single" w:color="auto" w:sz="4" w:space="0"/>
            </w:tcBorders>
          </w:tcPr>
          <w:p w14:paraId="6BC7A821">
            <w:pPr>
              <w:spacing w:before="183"/>
              <w:jc w:val="center"/>
              <w:rPr>
                <w:rFonts w:ascii="宋体" w:hAnsi="宋体" w:cs="宋体"/>
                <w:b/>
                <w:bCs/>
                <w:sz w:val="24"/>
                <w:szCs w:val="24"/>
                <w:highlight w:val="none"/>
              </w:rPr>
            </w:pPr>
            <w:r>
              <w:rPr>
                <w:rFonts w:hint="eastAsia" w:ascii="宋体" w:hAnsi="宋体" w:cs="宋体"/>
                <w:b/>
                <w:bCs/>
                <w:sz w:val="24"/>
                <w:szCs w:val="24"/>
                <w:highlight w:val="none"/>
              </w:rPr>
              <w:t>单价</w:t>
            </w:r>
          </w:p>
        </w:tc>
        <w:tc>
          <w:tcPr>
            <w:tcW w:w="838" w:type="dxa"/>
            <w:tcBorders>
              <w:top w:val="single" w:color="auto" w:sz="4" w:space="0"/>
              <w:left w:val="single" w:color="auto" w:sz="4" w:space="0"/>
              <w:bottom w:val="single" w:color="auto" w:sz="4" w:space="0"/>
              <w:right w:val="single" w:color="auto" w:sz="4" w:space="0"/>
            </w:tcBorders>
          </w:tcPr>
          <w:p w14:paraId="2B3A16B5">
            <w:pPr>
              <w:spacing w:before="183"/>
              <w:jc w:val="center"/>
              <w:rPr>
                <w:rFonts w:ascii="宋体" w:hAnsi="宋体" w:cs="宋体"/>
                <w:b/>
                <w:bCs/>
                <w:sz w:val="24"/>
                <w:szCs w:val="24"/>
                <w:highlight w:val="none"/>
              </w:rPr>
            </w:pPr>
            <w:r>
              <w:rPr>
                <w:rFonts w:hint="eastAsia" w:ascii="宋体" w:hAnsi="宋体" w:cs="宋体"/>
                <w:b/>
                <w:bCs/>
                <w:sz w:val="24"/>
                <w:szCs w:val="24"/>
                <w:highlight w:val="none"/>
              </w:rPr>
              <w:t>备注</w:t>
            </w:r>
          </w:p>
        </w:tc>
      </w:tr>
      <w:tr w14:paraId="5AD87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788" w:type="dxa"/>
            <w:tcBorders>
              <w:top w:val="single" w:color="auto" w:sz="4" w:space="0"/>
              <w:left w:val="single" w:color="auto" w:sz="4" w:space="0"/>
              <w:bottom w:val="single" w:color="auto" w:sz="4" w:space="0"/>
              <w:right w:val="single" w:color="auto" w:sz="4" w:space="0"/>
            </w:tcBorders>
            <w:vAlign w:val="center"/>
          </w:tcPr>
          <w:p w14:paraId="738084A5">
            <w:pPr>
              <w:spacing w:line="360" w:lineRule="auto"/>
              <w:jc w:val="center"/>
              <w:rPr>
                <w:rFonts w:ascii="宋体" w:hAnsi="宋体" w:cs="宋体"/>
                <w:sz w:val="24"/>
                <w:szCs w:val="24"/>
                <w:highlight w:val="none"/>
              </w:rPr>
            </w:pPr>
            <w:r>
              <w:rPr>
                <w:rFonts w:hint="eastAsia" w:ascii="宋体" w:hAnsi="宋体" w:cs="宋体"/>
                <w:sz w:val="24"/>
                <w:szCs w:val="24"/>
                <w:highlight w:val="none"/>
              </w:rPr>
              <w:t>1</w:t>
            </w:r>
          </w:p>
        </w:tc>
        <w:tc>
          <w:tcPr>
            <w:tcW w:w="3032" w:type="dxa"/>
            <w:tcBorders>
              <w:top w:val="single" w:color="auto" w:sz="4" w:space="0"/>
              <w:left w:val="single" w:color="auto" w:sz="4" w:space="0"/>
              <w:bottom w:val="single" w:color="auto" w:sz="4" w:space="0"/>
              <w:right w:val="single" w:color="auto" w:sz="4" w:space="0"/>
            </w:tcBorders>
            <w:vAlign w:val="center"/>
          </w:tcPr>
          <w:p w14:paraId="2109C5F1">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7E3647BB">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09577C10">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65B3AA12">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11484363">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3D37A3CE">
            <w:pPr>
              <w:spacing w:line="360" w:lineRule="auto"/>
              <w:jc w:val="center"/>
              <w:rPr>
                <w:rFonts w:ascii="宋体" w:hAnsi="宋体" w:cs="宋体"/>
                <w:sz w:val="24"/>
                <w:szCs w:val="24"/>
                <w:highlight w:val="none"/>
              </w:rPr>
            </w:pPr>
          </w:p>
        </w:tc>
      </w:tr>
      <w:tr w14:paraId="41F8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788" w:type="dxa"/>
            <w:tcBorders>
              <w:top w:val="single" w:color="auto" w:sz="4" w:space="0"/>
              <w:left w:val="single" w:color="auto" w:sz="4" w:space="0"/>
              <w:bottom w:val="single" w:color="auto" w:sz="4" w:space="0"/>
              <w:right w:val="single" w:color="auto" w:sz="4" w:space="0"/>
            </w:tcBorders>
            <w:vAlign w:val="center"/>
          </w:tcPr>
          <w:p w14:paraId="7EB47360">
            <w:pPr>
              <w:spacing w:line="360" w:lineRule="auto"/>
              <w:jc w:val="center"/>
              <w:rPr>
                <w:rFonts w:ascii="宋体" w:hAnsi="宋体" w:cs="宋体"/>
                <w:sz w:val="24"/>
                <w:szCs w:val="24"/>
                <w:highlight w:val="none"/>
              </w:rPr>
            </w:pPr>
            <w:r>
              <w:rPr>
                <w:rFonts w:hint="eastAsia" w:ascii="宋体" w:hAnsi="宋体" w:cs="宋体"/>
                <w:sz w:val="24"/>
                <w:szCs w:val="24"/>
                <w:highlight w:val="none"/>
              </w:rPr>
              <w:t>2</w:t>
            </w:r>
          </w:p>
        </w:tc>
        <w:tc>
          <w:tcPr>
            <w:tcW w:w="3032" w:type="dxa"/>
            <w:tcBorders>
              <w:top w:val="single" w:color="auto" w:sz="4" w:space="0"/>
              <w:left w:val="single" w:color="auto" w:sz="4" w:space="0"/>
              <w:bottom w:val="single" w:color="auto" w:sz="4" w:space="0"/>
              <w:right w:val="single" w:color="auto" w:sz="4" w:space="0"/>
            </w:tcBorders>
            <w:vAlign w:val="center"/>
          </w:tcPr>
          <w:p w14:paraId="50E46155">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61C6CF0C">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3EC8663C">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18BE3A21">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54D4950E">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26049551">
            <w:pPr>
              <w:spacing w:line="360" w:lineRule="auto"/>
              <w:jc w:val="center"/>
              <w:rPr>
                <w:rFonts w:ascii="宋体" w:hAnsi="宋体" w:cs="宋体"/>
                <w:sz w:val="24"/>
                <w:szCs w:val="24"/>
                <w:highlight w:val="none"/>
              </w:rPr>
            </w:pPr>
          </w:p>
        </w:tc>
      </w:tr>
      <w:tr w14:paraId="47E04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0D15A0D8">
            <w:pPr>
              <w:spacing w:line="360" w:lineRule="auto"/>
              <w:jc w:val="center"/>
              <w:rPr>
                <w:rFonts w:ascii="宋体" w:hAnsi="宋体" w:cs="宋体"/>
                <w:sz w:val="24"/>
                <w:szCs w:val="24"/>
                <w:highlight w:val="none"/>
              </w:rPr>
            </w:pPr>
            <w:r>
              <w:rPr>
                <w:rFonts w:hint="eastAsia" w:ascii="宋体" w:hAnsi="宋体" w:cs="宋体"/>
                <w:sz w:val="24"/>
                <w:szCs w:val="24"/>
                <w:highlight w:val="none"/>
              </w:rPr>
              <w:t>3</w:t>
            </w:r>
          </w:p>
        </w:tc>
        <w:tc>
          <w:tcPr>
            <w:tcW w:w="3032" w:type="dxa"/>
            <w:tcBorders>
              <w:top w:val="single" w:color="auto" w:sz="4" w:space="0"/>
              <w:left w:val="single" w:color="auto" w:sz="4" w:space="0"/>
              <w:bottom w:val="single" w:color="auto" w:sz="4" w:space="0"/>
              <w:right w:val="single" w:color="auto" w:sz="4" w:space="0"/>
            </w:tcBorders>
            <w:vAlign w:val="center"/>
          </w:tcPr>
          <w:p w14:paraId="38BDE7D8">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4D470E87">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58C086FB">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1E3F81A4">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27DA2A88">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002B97B8">
            <w:pPr>
              <w:spacing w:line="360" w:lineRule="auto"/>
              <w:jc w:val="center"/>
              <w:rPr>
                <w:rFonts w:ascii="宋体" w:hAnsi="宋体" w:cs="宋体"/>
                <w:sz w:val="24"/>
                <w:szCs w:val="24"/>
                <w:highlight w:val="none"/>
              </w:rPr>
            </w:pPr>
          </w:p>
        </w:tc>
      </w:tr>
      <w:tr w14:paraId="116B0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78DD38C2">
            <w:pPr>
              <w:spacing w:line="360" w:lineRule="auto"/>
              <w:jc w:val="center"/>
              <w:rPr>
                <w:rFonts w:ascii="宋体" w:hAnsi="宋体" w:cs="宋体"/>
                <w:sz w:val="24"/>
                <w:szCs w:val="24"/>
                <w:highlight w:val="none"/>
              </w:rPr>
            </w:pPr>
            <w:r>
              <w:rPr>
                <w:rFonts w:hint="eastAsia" w:ascii="宋体" w:hAnsi="宋体" w:cs="宋体"/>
                <w:sz w:val="24"/>
                <w:szCs w:val="24"/>
                <w:highlight w:val="none"/>
              </w:rPr>
              <w:t>4</w:t>
            </w:r>
          </w:p>
        </w:tc>
        <w:tc>
          <w:tcPr>
            <w:tcW w:w="3032" w:type="dxa"/>
            <w:tcBorders>
              <w:top w:val="single" w:color="auto" w:sz="4" w:space="0"/>
              <w:left w:val="single" w:color="auto" w:sz="4" w:space="0"/>
              <w:bottom w:val="single" w:color="auto" w:sz="4" w:space="0"/>
              <w:right w:val="single" w:color="auto" w:sz="4" w:space="0"/>
            </w:tcBorders>
            <w:vAlign w:val="center"/>
          </w:tcPr>
          <w:p w14:paraId="77EDCD14">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1E53BD9D">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036A3C17">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0A0DEEFA">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04445620">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19BA4CAF">
            <w:pPr>
              <w:spacing w:line="360" w:lineRule="auto"/>
              <w:jc w:val="center"/>
              <w:rPr>
                <w:rFonts w:ascii="宋体" w:hAnsi="宋体" w:cs="宋体"/>
                <w:sz w:val="24"/>
                <w:szCs w:val="24"/>
                <w:highlight w:val="none"/>
              </w:rPr>
            </w:pPr>
          </w:p>
        </w:tc>
      </w:tr>
      <w:tr w14:paraId="13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47C5D8D4">
            <w:pPr>
              <w:spacing w:line="360" w:lineRule="auto"/>
              <w:jc w:val="center"/>
              <w:rPr>
                <w:rFonts w:ascii="宋体" w:hAnsi="宋体" w:cs="宋体"/>
                <w:sz w:val="24"/>
                <w:szCs w:val="24"/>
                <w:highlight w:val="none"/>
              </w:rPr>
            </w:pPr>
            <w:r>
              <w:rPr>
                <w:rFonts w:hint="eastAsia" w:ascii="宋体" w:hAnsi="宋体" w:cs="宋体"/>
                <w:sz w:val="24"/>
                <w:szCs w:val="24"/>
                <w:highlight w:val="none"/>
              </w:rPr>
              <w:t>5</w:t>
            </w:r>
          </w:p>
        </w:tc>
        <w:tc>
          <w:tcPr>
            <w:tcW w:w="3032" w:type="dxa"/>
            <w:tcBorders>
              <w:top w:val="single" w:color="auto" w:sz="4" w:space="0"/>
              <w:left w:val="single" w:color="auto" w:sz="4" w:space="0"/>
              <w:bottom w:val="single" w:color="auto" w:sz="4" w:space="0"/>
              <w:right w:val="single" w:color="auto" w:sz="4" w:space="0"/>
            </w:tcBorders>
            <w:vAlign w:val="center"/>
          </w:tcPr>
          <w:p w14:paraId="79BB1B82">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78D44FE0">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4BEDC353">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2927B87A">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482CFE48">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6D8D339F">
            <w:pPr>
              <w:spacing w:line="360" w:lineRule="auto"/>
              <w:jc w:val="center"/>
              <w:rPr>
                <w:rFonts w:ascii="宋体" w:hAnsi="宋体" w:cs="宋体"/>
                <w:sz w:val="24"/>
                <w:szCs w:val="24"/>
                <w:highlight w:val="none"/>
              </w:rPr>
            </w:pPr>
          </w:p>
        </w:tc>
      </w:tr>
      <w:tr w14:paraId="0AD0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39DF7CCC">
            <w:pPr>
              <w:spacing w:line="360" w:lineRule="auto"/>
              <w:jc w:val="center"/>
              <w:rPr>
                <w:rFonts w:ascii="宋体" w:hAnsi="宋体" w:cs="宋体"/>
                <w:sz w:val="24"/>
                <w:szCs w:val="24"/>
                <w:highlight w:val="none"/>
              </w:rPr>
            </w:pPr>
            <w:r>
              <w:rPr>
                <w:rFonts w:hint="eastAsia" w:ascii="宋体" w:hAnsi="宋体" w:cs="宋体"/>
                <w:sz w:val="24"/>
                <w:szCs w:val="24"/>
                <w:highlight w:val="none"/>
              </w:rPr>
              <w:t>6</w:t>
            </w:r>
          </w:p>
        </w:tc>
        <w:tc>
          <w:tcPr>
            <w:tcW w:w="3032" w:type="dxa"/>
            <w:tcBorders>
              <w:top w:val="single" w:color="auto" w:sz="4" w:space="0"/>
              <w:left w:val="single" w:color="auto" w:sz="4" w:space="0"/>
              <w:bottom w:val="single" w:color="auto" w:sz="4" w:space="0"/>
              <w:right w:val="single" w:color="auto" w:sz="4" w:space="0"/>
            </w:tcBorders>
            <w:vAlign w:val="center"/>
          </w:tcPr>
          <w:p w14:paraId="15EA7372">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1C3D5CBE">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17035680">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4FD689B6">
            <w:pPr>
              <w:spacing w:line="360" w:lineRule="auto"/>
              <w:jc w:val="center"/>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3F891175">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2F35ABC5">
            <w:pPr>
              <w:spacing w:line="360" w:lineRule="auto"/>
              <w:jc w:val="center"/>
              <w:rPr>
                <w:rFonts w:ascii="宋体" w:hAnsi="宋体" w:cs="宋体"/>
                <w:sz w:val="24"/>
                <w:szCs w:val="24"/>
                <w:highlight w:val="none"/>
              </w:rPr>
            </w:pPr>
          </w:p>
        </w:tc>
      </w:tr>
      <w:tr w14:paraId="05923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377D4574">
            <w:pPr>
              <w:spacing w:line="360" w:lineRule="auto"/>
              <w:jc w:val="center"/>
              <w:rPr>
                <w:rFonts w:ascii="宋体" w:hAnsi="宋体" w:cs="宋体"/>
                <w:sz w:val="24"/>
                <w:szCs w:val="24"/>
                <w:highlight w:val="none"/>
              </w:rPr>
            </w:pPr>
            <w:r>
              <w:rPr>
                <w:rFonts w:hint="eastAsia" w:ascii="宋体" w:hAnsi="宋体" w:cs="宋体"/>
                <w:sz w:val="24"/>
                <w:szCs w:val="24"/>
                <w:highlight w:val="none"/>
              </w:rPr>
              <w:t>7</w:t>
            </w:r>
          </w:p>
        </w:tc>
        <w:tc>
          <w:tcPr>
            <w:tcW w:w="3032" w:type="dxa"/>
            <w:tcBorders>
              <w:top w:val="single" w:color="auto" w:sz="4" w:space="0"/>
              <w:left w:val="single" w:color="auto" w:sz="4" w:space="0"/>
              <w:bottom w:val="single" w:color="auto" w:sz="4" w:space="0"/>
              <w:right w:val="single" w:color="auto" w:sz="4" w:space="0"/>
            </w:tcBorders>
            <w:vAlign w:val="center"/>
          </w:tcPr>
          <w:p w14:paraId="366E1F8F">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7684FFDB">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6B36A59C">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06D88D1E">
            <w:pPr>
              <w:spacing w:line="360" w:lineRule="auto"/>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563FF6B2">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7FA3AAEA">
            <w:pPr>
              <w:spacing w:line="360" w:lineRule="auto"/>
              <w:rPr>
                <w:rFonts w:ascii="宋体" w:hAnsi="宋体" w:cs="宋体"/>
                <w:sz w:val="24"/>
                <w:szCs w:val="24"/>
                <w:highlight w:val="none"/>
              </w:rPr>
            </w:pPr>
          </w:p>
        </w:tc>
      </w:tr>
      <w:tr w14:paraId="30EC6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32CB95F7">
            <w:pPr>
              <w:spacing w:line="360" w:lineRule="auto"/>
              <w:jc w:val="center"/>
              <w:rPr>
                <w:rFonts w:ascii="宋体" w:hAnsi="宋体" w:cs="宋体"/>
                <w:sz w:val="24"/>
                <w:szCs w:val="24"/>
                <w:highlight w:val="none"/>
              </w:rPr>
            </w:pPr>
            <w:r>
              <w:rPr>
                <w:rFonts w:hint="eastAsia" w:ascii="宋体" w:hAnsi="宋体" w:cs="宋体"/>
                <w:sz w:val="24"/>
                <w:szCs w:val="24"/>
                <w:highlight w:val="none"/>
              </w:rPr>
              <w:t>8</w:t>
            </w:r>
          </w:p>
        </w:tc>
        <w:tc>
          <w:tcPr>
            <w:tcW w:w="3032" w:type="dxa"/>
            <w:tcBorders>
              <w:top w:val="single" w:color="auto" w:sz="4" w:space="0"/>
              <w:left w:val="single" w:color="auto" w:sz="4" w:space="0"/>
              <w:bottom w:val="single" w:color="auto" w:sz="4" w:space="0"/>
              <w:right w:val="single" w:color="auto" w:sz="4" w:space="0"/>
            </w:tcBorders>
            <w:vAlign w:val="center"/>
          </w:tcPr>
          <w:p w14:paraId="132761B5">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5F2D94FF">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190CA2DD">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3A47C319">
            <w:pPr>
              <w:spacing w:line="360" w:lineRule="auto"/>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6D957473">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3E7CE318">
            <w:pPr>
              <w:spacing w:line="360" w:lineRule="auto"/>
              <w:rPr>
                <w:rFonts w:ascii="宋体" w:hAnsi="宋体" w:cs="宋体"/>
                <w:sz w:val="24"/>
                <w:szCs w:val="24"/>
                <w:highlight w:val="none"/>
              </w:rPr>
            </w:pPr>
          </w:p>
        </w:tc>
      </w:tr>
      <w:tr w14:paraId="717EE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4F2AB8B7">
            <w:pPr>
              <w:spacing w:line="360" w:lineRule="auto"/>
              <w:jc w:val="center"/>
              <w:rPr>
                <w:rFonts w:ascii="宋体" w:hAnsi="宋体" w:cs="宋体"/>
                <w:sz w:val="24"/>
                <w:szCs w:val="24"/>
                <w:highlight w:val="none"/>
              </w:rPr>
            </w:pPr>
            <w:r>
              <w:rPr>
                <w:rFonts w:hint="eastAsia" w:ascii="宋体" w:hAnsi="宋体" w:cs="宋体"/>
                <w:sz w:val="24"/>
                <w:szCs w:val="24"/>
                <w:highlight w:val="none"/>
              </w:rPr>
              <w:t>9</w:t>
            </w:r>
          </w:p>
        </w:tc>
        <w:tc>
          <w:tcPr>
            <w:tcW w:w="3032" w:type="dxa"/>
            <w:tcBorders>
              <w:top w:val="single" w:color="auto" w:sz="4" w:space="0"/>
              <w:left w:val="single" w:color="auto" w:sz="4" w:space="0"/>
              <w:bottom w:val="single" w:color="auto" w:sz="4" w:space="0"/>
              <w:right w:val="single" w:color="auto" w:sz="4" w:space="0"/>
            </w:tcBorders>
            <w:vAlign w:val="center"/>
          </w:tcPr>
          <w:p w14:paraId="5572FA19">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406C9137">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42E91E58">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5FD38758">
            <w:pPr>
              <w:spacing w:line="360" w:lineRule="auto"/>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5F2CD049">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4A08574E">
            <w:pPr>
              <w:spacing w:line="360" w:lineRule="auto"/>
              <w:rPr>
                <w:rFonts w:ascii="宋体" w:hAnsi="宋体" w:cs="宋体"/>
                <w:sz w:val="24"/>
                <w:szCs w:val="24"/>
                <w:highlight w:val="none"/>
              </w:rPr>
            </w:pPr>
          </w:p>
        </w:tc>
      </w:tr>
      <w:tr w14:paraId="06793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23E4AE64">
            <w:pPr>
              <w:spacing w:line="360" w:lineRule="auto"/>
              <w:jc w:val="center"/>
              <w:rPr>
                <w:rFonts w:ascii="宋体" w:hAnsi="宋体" w:cs="宋体"/>
                <w:sz w:val="24"/>
                <w:szCs w:val="24"/>
                <w:highlight w:val="none"/>
              </w:rPr>
            </w:pPr>
            <w:r>
              <w:rPr>
                <w:rFonts w:hint="eastAsia" w:ascii="宋体" w:hAnsi="宋体" w:cs="宋体"/>
                <w:sz w:val="24"/>
                <w:szCs w:val="24"/>
                <w:highlight w:val="none"/>
              </w:rPr>
              <w:t>10</w:t>
            </w:r>
          </w:p>
        </w:tc>
        <w:tc>
          <w:tcPr>
            <w:tcW w:w="3032" w:type="dxa"/>
            <w:tcBorders>
              <w:top w:val="single" w:color="auto" w:sz="4" w:space="0"/>
              <w:left w:val="single" w:color="auto" w:sz="4" w:space="0"/>
              <w:bottom w:val="single" w:color="auto" w:sz="4" w:space="0"/>
              <w:right w:val="single" w:color="auto" w:sz="4" w:space="0"/>
            </w:tcBorders>
            <w:vAlign w:val="center"/>
          </w:tcPr>
          <w:p w14:paraId="178338F9">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209FB1D5">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0C3AF221">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01F17C40">
            <w:pPr>
              <w:spacing w:line="360" w:lineRule="auto"/>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43E786BB">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04B383F3">
            <w:pPr>
              <w:spacing w:line="360" w:lineRule="auto"/>
              <w:rPr>
                <w:rFonts w:ascii="宋体" w:hAnsi="宋体" w:cs="宋体"/>
                <w:sz w:val="24"/>
                <w:szCs w:val="24"/>
                <w:highlight w:val="none"/>
              </w:rPr>
            </w:pPr>
          </w:p>
        </w:tc>
      </w:tr>
      <w:tr w14:paraId="3902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218A98E8">
            <w:pPr>
              <w:spacing w:line="360" w:lineRule="auto"/>
              <w:jc w:val="center"/>
              <w:rPr>
                <w:rFonts w:ascii="宋体" w:hAnsi="宋体" w:cs="宋体"/>
                <w:sz w:val="24"/>
                <w:szCs w:val="24"/>
                <w:highlight w:val="none"/>
              </w:rPr>
            </w:pPr>
            <w:r>
              <w:rPr>
                <w:rFonts w:hint="eastAsia" w:ascii="宋体" w:hAnsi="宋体" w:cs="宋体"/>
                <w:sz w:val="24"/>
                <w:szCs w:val="24"/>
                <w:highlight w:val="none"/>
              </w:rPr>
              <w:t>11</w:t>
            </w:r>
          </w:p>
        </w:tc>
        <w:tc>
          <w:tcPr>
            <w:tcW w:w="3032" w:type="dxa"/>
            <w:tcBorders>
              <w:top w:val="single" w:color="auto" w:sz="4" w:space="0"/>
              <w:left w:val="single" w:color="auto" w:sz="4" w:space="0"/>
              <w:bottom w:val="single" w:color="auto" w:sz="4" w:space="0"/>
              <w:right w:val="single" w:color="auto" w:sz="4" w:space="0"/>
            </w:tcBorders>
            <w:vAlign w:val="center"/>
          </w:tcPr>
          <w:p w14:paraId="69A6D8BD">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706B4BB5">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2EB44AC2">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19FC91CD">
            <w:pPr>
              <w:spacing w:line="360" w:lineRule="auto"/>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243C68AD">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5C6C7B62">
            <w:pPr>
              <w:spacing w:line="360" w:lineRule="auto"/>
              <w:rPr>
                <w:rFonts w:ascii="宋体" w:hAnsi="宋体" w:cs="宋体"/>
                <w:sz w:val="24"/>
                <w:szCs w:val="24"/>
                <w:highlight w:val="none"/>
              </w:rPr>
            </w:pPr>
          </w:p>
        </w:tc>
      </w:tr>
      <w:tr w14:paraId="681C9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6C4135BA">
            <w:pPr>
              <w:spacing w:line="360" w:lineRule="auto"/>
              <w:jc w:val="center"/>
              <w:rPr>
                <w:rFonts w:ascii="宋体" w:hAnsi="宋体" w:cs="宋体"/>
                <w:sz w:val="24"/>
                <w:szCs w:val="24"/>
                <w:highlight w:val="none"/>
              </w:rPr>
            </w:pPr>
            <w:r>
              <w:rPr>
                <w:rFonts w:hint="eastAsia" w:ascii="宋体" w:hAnsi="宋体" w:cs="宋体"/>
                <w:sz w:val="24"/>
                <w:szCs w:val="24"/>
                <w:highlight w:val="none"/>
              </w:rPr>
              <w:t>12</w:t>
            </w:r>
          </w:p>
        </w:tc>
        <w:tc>
          <w:tcPr>
            <w:tcW w:w="3032" w:type="dxa"/>
            <w:tcBorders>
              <w:top w:val="single" w:color="auto" w:sz="4" w:space="0"/>
              <w:left w:val="single" w:color="auto" w:sz="4" w:space="0"/>
              <w:bottom w:val="single" w:color="auto" w:sz="4" w:space="0"/>
              <w:right w:val="single" w:color="auto" w:sz="4" w:space="0"/>
            </w:tcBorders>
            <w:vAlign w:val="center"/>
          </w:tcPr>
          <w:p w14:paraId="2A9B0194">
            <w:pPr>
              <w:widowControl/>
              <w:jc w:val="center"/>
              <w:textAlignment w:val="center"/>
              <w:rPr>
                <w:rFonts w:ascii="宋体" w:hAnsi="宋体" w:cs="宋体"/>
                <w:color w:val="000000"/>
                <w:sz w:val="22"/>
                <w:highlight w:val="none"/>
              </w:rPr>
            </w:pPr>
          </w:p>
        </w:tc>
        <w:tc>
          <w:tcPr>
            <w:tcW w:w="764" w:type="dxa"/>
            <w:tcBorders>
              <w:top w:val="single" w:color="auto" w:sz="4" w:space="0"/>
              <w:left w:val="single" w:color="auto" w:sz="4" w:space="0"/>
              <w:bottom w:val="single" w:color="auto" w:sz="4" w:space="0"/>
              <w:right w:val="single" w:color="auto" w:sz="4" w:space="0"/>
            </w:tcBorders>
            <w:vAlign w:val="center"/>
          </w:tcPr>
          <w:p w14:paraId="413D20CE">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191C5D65">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52354E58">
            <w:pPr>
              <w:spacing w:line="360" w:lineRule="auto"/>
              <w:rPr>
                <w:rFonts w:ascii="宋体" w:hAnsi="宋体" w:cs="宋体"/>
                <w:sz w:val="24"/>
                <w:szCs w:val="24"/>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1F36CD08">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28473F50">
            <w:pPr>
              <w:spacing w:line="360" w:lineRule="auto"/>
              <w:rPr>
                <w:rFonts w:ascii="宋体" w:hAnsi="宋体" w:cs="宋体"/>
                <w:sz w:val="24"/>
                <w:szCs w:val="24"/>
                <w:highlight w:val="none"/>
              </w:rPr>
            </w:pPr>
          </w:p>
        </w:tc>
      </w:tr>
      <w:tr w14:paraId="75F2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4C95E2FA">
            <w:pPr>
              <w:spacing w:line="360" w:lineRule="auto"/>
              <w:jc w:val="center"/>
              <w:rPr>
                <w:rFonts w:ascii="宋体" w:hAnsi="宋体" w:cs="宋体"/>
                <w:sz w:val="24"/>
                <w:szCs w:val="24"/>
                <w:highlight w:val="none"/>
              </w:rPr>
            </w:pPr>
            <w:r>
              <w:rPr>
                <w:rFonts w:hint="eastAsia" w:ascii="宋体" w:hAnsi="宋体" w:cs="宋体"/>
                <w:sz w:val="24"/>
                <w:szCs w:val="24"/>
                <w:highlight w:val="none"/>
              </w:rPr>
              <w:t>13</w:t>
            </w:r>
          </w:p>
        </w:tc>
        <w:tc>
          <w:tcPr>
            <w:tcW w:w="3032" w:type="dxa"/>
            <w:tcBorders>
              <w:top w:val="single" w:color="auto" w:sz="4" w:space="0"/>
              <w:left w:val="single" w:color="auto" w:sz="4" w:space="0"/>
              <w:bottom w:val="single" w:color="auto" w:sz="4" w:space="0"/>
              <w:right w:val="single" w:color="auto" w:sz="4" w:space="0"/>
            </w:tcBorders>
            <w:vAlign w:val="center"/>
          </w:tcPr>
          <w:p w14:paraId="1E55AADF">
            <w:pPr>
              <w:widowControl/>
              <w:jc w:val="center"/>
              <w:textAlignment w:val="center"/>
              <w:rPr>
                <w:rFonts w:ascii="宋体" w:hAnsi="宋体" w:cs="宋体"/>
                <w:color w:val="000000"/>
                <w:kern w:val="0"/>
                <w:sz w:val="22"/>
                <w:highlight w:val="none"/>
                <w:lang w:bidi="ar"/>
              </w:rPr>
            </w:pPr>
          </w:p>
        </w:tc>
        <w:tc>
          <w:tcPr>
            <w:tcW w:w="764" w:type="dxa"/>
            <w:tcBorders>
              <w:top w:val="single" w:color="auto" w:sz="4" w:space="0"/>
              <w:left w:val="single" w:color="auto" w:sz="4" w:space="0"/>
              <w:bottom w:val="single" w:color="auto" w:sz="4" w:space="0"/>
              <w:right w:val="single" w:color="auto" w:sz="4" w:space="0"/>
            </w:tcBorders>
            <w:vAlign w:val="center"/>
          </w:tcPr>
          <w:p w14:paraId="7007FB6A">
            <w:pPr>
              <w:spacing w:line="360" w:lineRule="auto"/>
              <w:jc w:val="center"/>
              <w:rPr>
                <w:rFonts w:ascii="宋体" w:hAnsi="宋体" w:cs="宋体"/>
                <w:sz w:val="24"/>
                <w:szCs w:val="24"/>
                <w:highlight w:val="none"/>
              </w:rPr>
            </w:pPr>
          </w:p>
        </w:tc>
        <w:tc>
          <w:tcPr>
            <w:tcW w:w="915" w:type="dxa"/>
            <w:tcBorders>
              <w:top w:val="single" w:color="auto" w:sz="4" w:space="0"/>
              <w:left w:val="single" w:color="auto" w:sz="4" w:space="0"/>
              <w:bottom w:val="single" w:color="auto" w:sz="4" w:space="0"/>
              <w:right w:val="single" w:color="auto" w:sz="4" w:space="0"/>
            </w:tcBorders>
          </w:tcPr>
          <w:p w14:paraId="6461AF47">
            <w:pPr>
              <w:spacing w:line="360" w:lineRule="auto"/>
              <w:jc w:val="center"/>
              <w:rPr>
                <w:rFonts w:ascii="宋体" w:hAnsi="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vAlign w:val="center"/>
          </w:tcPr>
          <w:p w14:paraId="360F56BF">
            <w:pPr>
              <w:spacing w:line="360" w:lineRule="auto"/>
              <w:rPr>
                <w:rFonts w:ascii="宋体" w:hAnsi="宋体" w:cs="宋体"/>
                <w:szCs w:val="21"/>
                <w:highlight w:val="none"/>
              </w:rPr>
            </w:pPr>
          </w:p>
        </w:tc>
        <w:tc>
          <w:tcPr>
            <w:tcW w:w="1011" w:type="dxa"/>
            <w:tcBorders>
              <w:top w:val="single" w:color="auto" w:sz="4" w:space="0"/>
              <w:left w:val="single" w:color="auto" w:sz="4" w:space="0"/>
              <w:bottom w:val="single" w:color="auto" w:sz="4" w:space="0"/>
              <w:right w:val="single" w:color="auto" w:sz="4" w:space="0"/>
            </w:tcBorders>
            <w:vAlign w:val="center"/>
          </w:tcPr>
          <w:p w14:paraId="37119749">
            <w:pPr>
              <w:spacing w:line="360" w:lineRule="auto"/>
              <w:jc w:val="center"/>
              <w:rPr>
                <w:rFonts w:ascii="宋体" w:hAnsi="宋体" w:cs="宋体"/>
                <w:sz w:val="24"/>
                <w:szCs w:val="24"/>
                <w:highlight w:val="none"/>
              </w:rPr>
            </w:pPr>
          </w:p>
        </w:tc>
        <w:tc>
          <w:tcPr>
            <w:tcW w:w="838" w:type="dxa"/>
            <w:tcBorders>
              <w:top w:val="single" w:color="auto" w:sz="4" w:space="0"/>
              <w:left w:val="single" w:color="auto" w:sz="4" w:space="0"/>
              <w:bottom w:val="single" w:color="auto" w:sz="4" w:space="0"/>
              <w:right w:val="single" w:color="auto" w:sz="4" w:space="0"/>
            </w:tcBorders>
            <w:vAlign w:val="center"/>
          </w:tcPr>
          <w:p w14:paraId="50AE89D7">
            <w:pPr>
              <w:spacing w:line="360" w:lineRule="auto"/>
              <w:rPr>
                <w:rFonts w:ascii="宋体" w:hAnsi="宋体" w:cs="宋体"/>
                <w:sz w:val="24"/>
                <w:szCs w:val="24"/>
                <w:highlight w:val="none"/>
              </w:rPr>
            </w:pPr>
          </w:p>
        </w:tc>
      </w:tr>
      <w:tr w14:paraId="71407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56AFB5C2">
            <w:pPr>
              <w:spacing w:line="360" w:lineRule="auto"/>
              <w:jc w:val="center"/>
              <w:rPr>
                <w:rFonts w:ascii="宋体" w:hAnsi="宋体" w:cs="宋体"/>
                <w:sz w:val="24"/>
                <w:szCs w:val="24"/>
                <w:highlight w:val="none"/>
              </w:rPr>
            </w:pPr>
            <w:r>
              <w:rPr>
                <w:rFonts w:hint="eastAsia" w:ascii="宋体" w:hAnsi="宋体" w:cs="宋体"/>
                <w:sz w:val="24"/>
                <w:szCs w:val="24"/>
                <w:highlight w:val="none"/>
              </w:rPr>
              <w:t>14</w:t>
            </w:r>
          </w:p>
        </w:tc>
        <w:tc>
          <w:tcPr>
            <w:tcW w:w="3796" w:type="dxa"/>
            <w:gridSpan w:val="2"/>
            <w:tcBorders>
              <w:top w:val="single" w:color="auto" w:sz="4" w:space="0"/>
              <w:left w:val="single" w:color="auto" w:sz="4" w:space="0"/>
              <w:bottom w:val="single" w:color="auto" w:sz="4" w:space="0"/>
              <w:right w:val="single" w:color="auto" w:sz="4" w:space="0"/>
            </w:tcBorders>
            <w:vAlign w:val="center"/>
          </w:tcPr>
          <w:p w14:paraId="18E19A0C">
            <w:pPr>
              <w:spacing w:line="360" w:lineRule="auto"/>
              <w:jc w:val="center"/>
              <w:rPr>
                <w:rFonts w:ascii="宋体" w:hAnsi="宋体" w:cs="宋体"/>
                <w:sz w:val="24"/>
                <w:szCs w:val="24"/>
                <w:highlight w:val="none"/>
              </w:rPr>
            </w:pPr>
            <w:r>
              <w:rPr>
                <w:rFonts w:hint="eastAsia" w:ascii="宋体" w:hAnsi="宋体" w:cs="宋体"/>
                <w:sz w:val="24"/>
                <w:szCs w:val="24"/>
                <w:highlight w:val="none"/>
              </w:rPr>
              <w:t>费用共计</w:t>
            </w:r>
          </w:p>
        </w:tc>
        <w:tc>
          <w:tcPr>
            <w:tcW w:w="4579" w:type="dxa"/>
            <w:gridSpan w:val="4"/>
            <w:tcBorders>
              <w:top w:val="single" w:color="auto" w:sz="4" w:space="0"/>
              <w:left w:val="single" w:color="auto" w:sz="4" w:space="0"/>
              <w:bottom w:val="single" w:color="auto" w:sz="4" w:space="0"/>
              <w:right w:val="single" w:color="auto" w:sz="4" w:space="0"/>
            </w:tcBorders>
          </w:tcPr>
          <w:p w14:paraId="3C1EE9EB">
            <w:pPr>
              <w:spacing w:line="360" w:lineRule="auto"/>
              <w:jc w:val="right"/>
              <w:rPr>
                <w:rFonts w:ascii="宋体" w:hAnsi="宋体" w:cs="宋体"/>
                <w:sz w:val="24"/>
                <w:szCs w:val="24"/>
                <w:highlight w:val="none"/>
              </w:rPr>
            </w:pPr>
            <w:r>
              <w:rPr>
                <w:rFonts w:hint="eastAsia" w:ascii="宋体" w:hAnsi="宋体" w:cs="宋体"/>
                <w:sz w:val="24"/>
                <w:szCs w:val="24"/>
                <w:highlight w:val="none"/>
              </w:rPr>
              <w:t>元（含税价）</w:t>
            </w:r>
          </w:p>
        </w:tc>
      </w:tr>
      <w:tr w14:paraId="32F1D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788" w:type="dxa"/>
            <w:tcBorders>
              <w:top w:val="single" w:color="auto" w:sz="4" w:space="0"/>
              <w:left w:val="single" w:color="auto" w:sz="4" w:space="0"/>
              <w:bottom w:val="single" w:color="auto" w:sz="4" w:space="0"/>
              <w:right w:val="single" w:color="auto" w:sz="4" w:space="0"/>
            </w:tcBorders>
            <w:vAlign w:val="center"/>
          </w:tcPr>
          <w:p w14:paraId="77CA760A">
            <w:pPr>
              <w:spacing w:line="360" w:lineRule="auto"/>
              <w:jc w:val="center"/>
              <w:rPr>
                <w:rFonts w:ascii="宋体" w:hAnsi="宋体" w:cs="宋体"/>
                <w:sz w:val="24"/>
                <w:szCs w:val="24"/>
                <w:highlight w:val="none"/>
              </w:rPr>
            </w:pPr>
            <w:r>
              <w:rPr>
                <w:rFonts w:hint="eastAsia" w:ascii="宋体" w:hAnsi="宋体" w:cs="宋体"/>
                <w:sz w:val="24"/>
                <w:szCs w:val="24"/>
                <w:highlight w:val="none"/>
              </w:rPr>
              <w:t>15</w:t>
            </w:r>
          </w:p>
        </w:tc>
        <w:tc>
          <w:tcPr>
            <w:tcW w:w="8375" w:type="dxa"/>
            <w:gridSpan w:val="6"/>
            <w:tcBorders>
              <w:top w:val="single" w:color="auto" w:sz="4" w:space="0"/>
              <w:left w:val="single" w:color="auto" w:sz="4" w:space="0"/>
              <w:bottom w:val="single" w:color="auto" w:sz="4" w:space="0"/>
              <w:right w:val="single" w:color="auto" w:sz="4" w:space="0"/>
            </w:tcBorders>
            <w:vAlign w:val="center"/>
          </w:tcPr>
          <w:p w14:paraId="3579E300">
            <w:pPr>
              <w:wordWrap w:val="0"/>
              <w:spacing w:line="360" w:lineRule="auto"/>
              <w:jc w:val="right"/>
              <w:rPr>
                <w:rFonts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b/>
                <w:bCs/>
                <w:sz w:val="24"/>
                <w:szCs w:val="24"/>
                <w:highlight w:val="none"/>
              </w:rPr>
              <w:t xml:space="preserve"> 大写：        </w:t>
            </w:r>
          </w:p>
        </w:tc>
      </w:tr>
    </w:tbl>
    <w:p w14:paraId="010219B5">
      <w:pPr>
        <w:pStyle w:val="3"/>
        <w:rPr>
          <w:rFonts w:asciiTheme="minorEastAsia" w:hAnsiTheme="minorEastAsia" w:eastAsiaTheme="minorEastAsia" w:cstheme="minorEastAsia"/>
          <w:sz w:val="24"/>
          <w:szCs w:val="24"/>
          <w:highlight w:val="none"/>
        </w:rPr>
      </w:pPr>
    </w:p>
    <w:p w14:paraId="0095F1FA">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二、合同价款：</w:t>
      </w:r>
    </w:p>
    <w:p w14:paraId="03E7C885">
      <w:pPr>
        <w:spacing w:line="360" w:lineRule="auto"/>
        <w:rPr>
          <w:rFonts w:ascii="宋体" w:hAnsi="宋体" w:cs="宋体"/>
          <w:sz w:val="24"/>
          <w:highlight w:val="none"/>
        </w:rPr>
      </w:pPr>
      <w:r>
        <w:rPr>
          <w:rFonts w:hint="eastAsia" w:ascii="宋体" w:hAnsi="宋体" w:cs="宋体"/>
          <w:sz w:val="24"/>
          <w:highlight w:val="none"/>
        </w:rPr>
        <w:t>（一）合同总价款为人民币（大写）：</w:t>
      </w:r>
      <w:r>
        <w:rPr>
          <w:rFonts w:hint="eastAsia" w:ascii="宋体" w:hAnsi="宋体" w:cs="宋体"/>
          <w:b/>
          <w:bCs/>
          <w:sz w:val="24"/>
          <w:szCs w:val="24"/>
          <w:highlight w:val="none"/>
          <w:u w:val="single"/>
        </w:rPr>
        <w:t xml:space="preserve">        元</w:t>
      </w:r>
      <w:r>
        <w:rPr>
          <w:rFonts w:hint="eastAsia" w:ascii="宋体" w:hAnsi="宋体" w:cs="宋体"/>
          <w:b/>
          <w:sz w:val="24"/>
          <w:highlight w:val="none"/>
        </w:rPr>
        <w:t>，小写：</w:t>
      </w:r>
      <w:r>
        <w:rPr>
          <w:rFonts w:hint="eastAsia" w:ascii="宋体" w:hAnsi="宋体" w:cs="宋体"/>
          <w:b/>
          <w:sz w:val="24"/>
          <w:highlight w:val="none"/>
          <w:u w:val="single"/>
        </w:rPr>
        <w:t xml:space="preserve">        元</w:t>
      </w:r>
    </w:p>
    <w:p w14:paraId="51E435F1">
      <w:pPr>
        <w:spacing w:line="360" w:lineRule="auto"/>
        <w:rPr>
          <w:rFonts w:ascii="宋体" w:hAnsi="宋体" w:cs="宋体"/>
          <w:sz w:val="24"/>
          <w:highlight w:val="none"/>
        </w:rPr>
      </w:pPr>
      <w:r>
        <w:rPr>
          <w:rFonts w:hint="eastAsia" w:ascii="宋体" w:hAnsi="宋体" w:cs="宋体"/>
          <w:sz w:val="24"/>
          <w:highlight w:val="none"/>
        </w:rPr>
        <w:t>（二）合同总价包括：供应商为完成本项目要求的全部内容最终价格的体现。供应商所报的价格应考虑到可能发生的所有与完成本项目相关服务及履行合同义务有关的一切费用。</w:t>
      </w:r>
    </w:p>
    <w:p w14:paraId="3EFC2391">
      <w:pPr>
        <w:spacing w:line="360" w:lineRule="auto"/>
        <w:rPr>
          <w:rFonts w:ascii="宋体" w:hAnsi="宋体" w:cs="宋体"/>
          <w:sz w:val="24"/>
          <w:highlight w:val="none"/>
        </w:rPr>
      </w:pPr>
      <w:r>
        <w:rPr>
          <w:rFonts w:hint="eastAsia" w:ascii="宋体" w:hAnsi="宋体" w:cs="宋体"/>
          <w:sz w:val="24"/>
          <w:highlight w:val="none"/>
        </w:rPr>
        <w:t>（三）合同总价一次性包死及提供发票，并负责承担产生的所有费用，不受市场价格变化因素的影响。</w:t>
      </w:r>
    </w:p>
    <w:p w14:paraId="6D92D84E">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三、合同款项结算：</w:t>
      </w:r>
    </w:p>
    <w:p w14:paraId="2E25B44E">
      <w:pPr>
        <w:spacing w:line="360" w:lineRule="auto"/>
        <w:ind w:left="34" w:leftChars="16"/>
        <w:rPr>
          <w:rFonts w:ascii="宋体" w:hAnsi="宋体" w:cs="宋体"/>
          <w:sz w:val="24"/>
          <w:highlight w:val="none"/>
        </w:rPr>
      </w:pPr>
      <w:r>
        <w:rPr>
          <w:rFonts w:hint="eastAsia" w:ascii="宋体" w:hAnsi="宋体" w:cs="宋体"/>
          <w:sz w:val="24"/>
          <w:highlight w:val="none"/>
        </w:rPr>
        <w:t>（一）质保期限：自项目验收合格之日起1年。</w:t>
      </w:r>
    </w:p>
    <w:p w14:paraId="58C3A1D1">
      <w:pPr>
        <w:pStyle w:val="6"/>
        <w:ind w:firstLine="420" w:firstLineChars="0"/>
        <w:rPr>
          <w:rFonts w:hint="eastAsia"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rPr>
        <w:t>1、付款方式：合同签订，</w:t>
      </w:r>
      <w:r>
        <w:rPr>
          <w:rFonts w:hint="eastAsia" w:ascii="宋体" w:hAnsi="宋体" w:eastAsia="宋体" w:cs="宋体"/>
          <w:sz w:val="24"/>
          <w:szCs w:val="24"/>
          <w:highlight w:val="none"/>
          <w:lang w:eastAsia="zh-CN"/>
        </w:rPr>
        <w:t>项目安装调试完成，</w:t>
      </w:r>
      <w:r>
        <w:rPr>
          <w:rFonts w:hint="eastAsia" w:ascii="宋体" w:hAnsi="宋体" w:eastAsia="宋体" w:cs="宋体"/>
          <w:sz w:val="24"/>
          <w:szCs w:val="24"/>
          <w:highlight w:val="none"/>
        </w:rPr>
        <w:t>验收合格</w:t>
      </w:r>
      <w:r>
        <w:rPr>
          <w:rFonts w:hint="eastAsia" w:ascii="宋体" w:hAnsi="宋体" w:eastAsia="宋体" w:cs="宋体"/>
          <w:sz w:val="24"/>
          <w:szCs w:val="24"/>
          <w:highlight w:val="none"/>
          <w:lang w:eastAsia="zh-CN"/>
        </w:rPr>
        <w:t>后</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乙方开具发票，</w:t>
      </w:r>
      <w:r>
        <w:rPr>
          <w:rFonts w:hint="eastAsia" w:ascii="宋体" w:hAnsi="宋体" w:eastAsia="宋体" w:cs="宋体"/>
          <w:sz w:val="24"/>
          <w:szCs w:val="24"/>
          <w:highlight w:val="none"/>
        </w:rPr>
        <w:t>甲方收到乙方发票后</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个工作日内支付合同</w:t>
      </w:r>
      <w:r>
        <w:rPr>
          <w:rFonts w:hint="eastAsia" w:ascii="宋体" w:hAnsi="宋体" w:eastAsia="宋体" w:cs="宋体"/>
          <w:sz w:val="24"/>
          <w:szCs w:val="24"/>
          <w:highlight w:val="none"/>
          <w:lang w:eastAsia="zh-CN"/>
        </w:rPr>
        <w:t>总费用的</w:t>
      </w:r>
      <w:r>
        <w:rPr>
          <w:rFonts w:hint="eastAsia" w:ascii="宋体" w:hAnsi="宋体" w:eastAsia="宋体" w:cs="宋体"/>
          <w:sz w:val="24"/>
          <w:szCs w:val="24"/>
          <w:highlight w:val="none"/>
          <w:lang w:val="en-US" w:eastAsia="zh-CN"/>
        </w:rPr>
        <w:t>95%</w:t>
      </w:r>
      <w:r>
        <w:rPr>
          <w:rFonts w:hint="eastAsia" w:ascii="宋体" w:hAnsi="宋体" w:eastAsia="宋体" w:cs="宋体"/>
          <w:sz w:val="24"/>
          <w:szCs w:val="24"/>
          <w:highlight w:val="none"/>
        </w:rPr>
        <w:t>，即</w:t>
      </w:r>
      <w:r>
        <w:rPr>
          <w:rFonts w:hint="eastAsia" w:ascii="宋体" w:hAnsi="宋体" w:eastAsia="宋体" w:cs="宋体"/>
          <w:sz w:val="24"/>
          <w:szCs w:val="24"/>
          <w:highlight w:val="none"/>
          <w:u w:val="none"/>
        </w:rPr>
        <w:t>人民币大写</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
          <w:bCs/>
          <w:sz w:val="24"/>
          <w:szCs w:val="24"/>
          <w:highlight w:val="none"/>
          <w:u w:val="none"/>
          <w:lang w:eastAsia="zh-CN"/>
        </w:rPr>
        <w:t>元</w:t>
      </w:r>
    </w:p>
    <w:p w14:paraId="284AC992">
      <w:pPr>
        <w:pStyle w:val="6"/>
        <w:ind w:left="0" w:leftChars="0" w:firstLine="0" w:firstLineChars="0"/>
        <w:rPr>
          <w:rFonts w:hint="eastAsia" w:ascii="宋体" w:hAnsi="宋体" w:eastAsia="宋体" w:cs="宋体"/>
          <w:sz w:val="24"/>
          <w:szCs w:val="24"/>
          <w:highlight w:val="none"/>
          <w:lang w:eastAsia="zh-CN"/>
        </w:rPr>
      </w:pPr>
      <w:r>
        <w:rPr>
          <w:rFonts w:hint="eastAsia" w:ascii="宋体" w:hAnsi="宋体" w:eastAsia="宋体" w:cs="宋体"/>
          <w:b/>
          <w:sz w:val="24"/>
          <w:highlight w:val="none"/>
          <w:u w:val="none"/>
        </w:rPr>
        <w:t>小写</w:t>
      </w:r>
      <w:r>
        <w:rPr>
          <w:rFonts w:hint="eastAsia" w:ascii="宋体" w:hAnsi="宋体" w:eastAsia="宋体" w:cs="宋体"/>
          <w:b/>
          <w:sz w:val="24"/>
          <w:highlight w:val="none"/>
          <w:u w:val="none"/>
          <w:lang w:eastAsia="zh-CN"/>
        </w:rPr>
        <w:t>：</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none"/>
        </w:rPr>
        <w:t>元</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none"/>
          <w:lang w:eastAsia="zh-CN"/>
        </w:rPr>
        <w:t>系统运行满一年后，</w:t>
      </w:r>
      <w:r>
        <w:rPr>
          <w:rFonts w:hint="eastAsia" w:ascii="宋体" w:hAnsi="宋体" w:eastAsia="宋体" w:cs="宋体"/>
          <w:sz w:val="24"/>
          <w:szCs w:val="24"/>
          <w:highlight w:val="none"/>
        </w:rPr>
        <w:t>甲方收到乙方发票后</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个工作日内支付合同</w:t>
      </w:r>
      <w:r>
        <w:rPr>
          <w:rFonts w:hint="eastAsia" w:ascii="宋体" w:hAnsi="宋体" w:eastAsia="宋体" w:cs="宋体"/>
          <w:sz w:val="24"/>
          <w:szCs w:val="24"/>
          <w:highlight w:val="none"/>
          <w:lang w:eastAsia="zh-CN"/>
        </w:rPr>
        <w:t>总费用的</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，即</w:t>
      </w:r>
      <w:r>
        <w:rPr>
          <w:rFonts w:hint="eastAsia" w:ascii="宋体" w:hAnsi="宋体" w:eastAsia="宋体" w:cs="宋体"/>
          <w:sz w:val="24"/>
          <w:szCs w:val="24"/>
          <w:highlight w:val="none"/>
          <w:u w:val="none"/>
        </w:rPr>
        <w:t>人民币大写</w:t>
      </w:r>
      <w:r>
        <w:rPr>
          <w:rFonts w:hint="eastAsia" w:ascii="宋体" w:hAnsi="宋体" w:eastAsia="宋体" w:cs="宋体"/>
          <w:sz w:val="24"/>
          <w:szCs w:val="24"/>
          <w:highlight w:val="none"/>
          <w:u w:val="none"/>
          <w:lang w:eastAsia="zh-CN"/>
        </w:rPr>
        <w:t>：</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none"/>
          <w:lang w:val="en-US" w:eastAsia="zh-CN"/>
        </w:rPr>
        <w:t>元，</w:t>
      </w:r>
      <w:r>
        <w:rPr>
          <w:rFonts w:hint="eastAsia" w:ascii="宋体" w:hAnsi="宋体" w:eastAsia="宋体" w:cs="宋体"/>
          <w:b/>
          <w:sz w:val="24"/>
          <w:highlight w:val="none"/>
          <w:u w:val="none"/>
        </w:rPr>
        <w:t>小写：</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single"/>
          <w:lang w:val="en-US" w:eastAsia="zh-CN"/>
        </w:rPr>
        <w:t xml:space="preserve"> </w:t>
      </w:r>
      <w:r>
        <w:rPr>
          <w:rFonts w:hint="eastAsia" w:ascii="宋体" w:hAnsi="宋体" w:eastAsia="宋体" w:cs="宋体"/>
          <w:b/>
          <w:sz w:val="24"/>
          <w:highlight w:val="none"/>
          <w:u w:val="none"/>
        </w:rPr>
        <w:t>元</w:t>
      </w:r>
      <w:r>
        <w:rPr>
          <w:rFonts w:hint="eastAsia" w:ascii="宋体" w:hAnsi="宋体" w:eastAsia="宋体" w:cs="宋体"/>
          <w:sz w:val="24"/>
          <w:szCs w:val="24"/>
          <w:highlight w:val="none"/>
          <w:u w:val="none"/>
        </w:rPr>
        <w:t>；</w:t>
      </w:r>
    </w:p>
    <w:p w14:paraId="2CEEB16D">
      <w:pPr>
        <w:spacing w:line="360" w:lineRule="auto"/>
        <w:ind w:right="-92" w:rightChars="-44" w:firstLine="420"/>
        <w:rPr>
          <w:rFonts w:ascii="宋体" w:hAnsi="宋体" w:cs="宋体"/>
          <w:sz w:val="24"/>
          <w:highlight w:val="none"/>
        </w:rPr>
      </w:pPr>
      <w:r>
        <w:rPr>
          <w:rFonts w:hint="eastAsia" w:ascii="宋体" w:hAnsi="宋体" w:cs="宋体"/>
          <w:sz w:val="24"/>
          <w:highlight w:val="none"/>
        </w:rPr>
        <w:t>2、凭合同、发票、验收报告办理付款手续。</w:t>
      </w:r>
    </w:p>
    <w:p w14:paraId="226D21D4">
      <w:pPr>
        <w:spacing w:line="360" w:lineRule="auto"/>
        <w:ind w:firstLine="480" w:firstLineChars="200"/>
        <w:rPr>
          <w:rFonts w:ascii="宋体" w:hAnsi="宋体" w:cs="宋体"/>
          <w:sz w:val="24"/>
          <w:szCs w:val="24"/>
          <w:highlight w:val="none"/>
        </w:rPr>
      </w:pPr>
      <w:r>
        <w:rPr>
          <w:rFonts w:hint="eastAsia" w:ascii="宋体" w:hAnsi="宋体" w:cs="宋体"/>
          <w:sz w:val="24"/>
          <w:highlight w:val="none"/>
        </w:rPr>
        <w:t>3、支付方式：银行转账</w:t>
      </w:r>
    </w:p>
    <w:p w14:paraId="409E48E1">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乙方银行账户信息如下：</w:t>
      </w:r>
    </w:p>
    <w:p w14:paraId="7C94D14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账户全称：</w:t>
      </w:r>
    </w:p>
    <w:p w14:paraId="76C896E7">
      <w:pPr>
        <w:spacing w:line="360" w:lineRule="auto"/>
        <w:ind w:firstLine="480" w:firstLineChars="200"/>
        <w:rPr>
          <w:rFonts w:ascii="宋体" w:hAnsi="宋体" w:cs="宋体"/>
          <w:b/>
          <w:bCs/>
          <w:sz w:val="24"/>
          <w:szCs w:val="24"/>
          <w:highlight w:val="none"/>
        </w:rPr>
      </w:pPr>
      <w:r>
        <w:rPr>
          <w:rFonts w:hint="eastAsia" w:ascii="宋体" w:hAnsi="宋体" w:cs="宋体"/>
          <w:sz w:val="24"/>
          <w:szCs w:val="24"/>
          <w:highlight w:val="none"/>
        </w:rPr>
        <w:t>账    号：</w:t>
      </w:r>
    </w:p>
    <w:p w14:paraId="438D2DD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 xml:space="preserve">开 户 行： </w:t>
      </w:r>
    </w:p>
    <w:p w14:paraId="76296035">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甲方仅认可上述指定账户并向该账户付款，甲方有权拒绝向指定账户之外的任何账户付款，并且由此导致的付款延迟责任由乙方承担。</w:t>
      </w:r>
    </w:p>
    <w:p w14:paraId="002495C9">
      <w:pPr>
        <w:spacing w:before="183" w:line="360" w:lineRule="auto"/>
        <w:ind w:firstLine="480" w:firstLineChars="200"/>
        <w:rPr>
          <w:rFonts w:ascii="宋体" w:hAnsi="宋体" w:cs="宋体"/>
          <w:sz w:val="24"/>
          <w:highlight w:val="none"/>
        </w:rPr>
      </w:pPr>
      <w:r>
        <w:rPr>
          <w:rFonts w:hint="eastAsia" w:ascii="宋体" w:hAnsi="宋体" w:cs="宋体"/>
          <w:sz w:val="24"/>
          <w:szCs w:val="24"/>
          <w:highlight w:val="none"/>
        </w:rPr>
        <w:t>甲方每次付款前乙方要如实开具发票，不得变更开票内容，乙方开具发票出现税务争议时，乙方需承担税款、滞纳金、罚款等赔偿责任以及其他相关责任。</w:t>
      </w:r>
    </w:p>
    <w:p w14:paraId="5D6C128B">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四、双方的权利和义务：</w:t>
      </w:r>
    </w:p>
    <w:p w14:paraId="439885D2">
      <w:pPr>
        <w:spacing w:line="360" w:lineRule="auto"/>
        <w:ind w:firstLine="480" w:firstLineChars="200"/>
        <w:outlineLvl w:val="0"/>
        <w:rPr>
          <w:rFonts w:ascii="宋体" w:hAnsi="宋体" w:cs="宋体"/>
          <w:sz w:val="24"/>
          <w:highlight w:val="none"/>
        </w:rPr>
      </w:pPr>
      <w:r>
        <w:rPr>
          <w:rFonts w:hint="eastAsia" w:ascii="宋体" w:hAnsi="宋体" w:cs="宋体"/>
          <w:sz w:val="24"/>
          <w:highlight w:val="none"/>
        </w:rPr>
        <w:t>（一）甲方的权利和义务</w:t>
      </w:r>
    </w:p>
    <w:p w14:paraId="5338E3FD">
      <w:pPr>
        <w:spacing w:line="360" w:lineRule="auto"/>
        <w:ind w:firstLine="480" w:firstLineChars="200"/>
        <w:rPr>
          <w:rFonts w:ascii="宋体" w:hAnsi="宋体" w:cs="宋体"/>
          <w:sz w:val="24"/>
          <w:highlight w:val="none"/>
        </w:rPr>
      </w:pPr>
      <w:r>
        <w:rPr>
          <w:rFonts w:hint="eastAsia" w:ascii="宋体" w:hAnsi="宋体" w:cs="宋体"/>
          <w:sz w:val="24"/>
          <w:highlight w:val="none"/>
        </w:rPr>
        <w:t>甲方权利：组织使用单位严格按照招标文件及投标文件要求和标准验收。</w:t>
      </w:r>
    </w:p>
    <w:p w14:paraId="293A9F14">
      <w:pPr>
        <w:spacing w:line="360" w:lineRule="auto"/>
        <w:ind w:firstLine="480" w:firstLineChars="200"/>
        <w:rPr>
          <w:rFonts w:ascii="宋体" w:hAnsi="宋体" w:cs="宋体"/>
          <w:sz w:val="24"/>
          <w:highlight w:val="none"/>
        </w:rPr>
      </w:pPr>
      <w:r>
        <w:rPr>
          <w:rFonts w:hint="eastAsia" w:ascii="宋体" w:hAnsi="宋体" w:cs="宋体"/>
          <w:sz w:val="24"/>
          <w:highlight w:val="none"/>
        </w:rPr>
        <w:t>甲方义务：积极配合乙方验收工作。</w:t>
      </w:r>
    </w:p>
    <w:p w14:paraId="2F3190D0">
      <w:pPr>
        <w:spacing w:line="360" w:lineRule="auto"/>
        <w:ind w:left="420"/>
        <w:outlineLvl w:val="0"/>
        <w:rPr>
          <w:rFonts w:ascii="宋体" w:hAnsi="宋体" w:cs="宋体"/>
          <w:sz w:val="24"/>
          <w:highlight w:val="none"/>
        </w:rPr>
      </w:pPr>
      <w:r>
        <w:rPr>
          <w:rFonts w:hint="eastAsia" w:ascii="宋体" w:hAnsi="宋体" w:cs="宋体"/>
          <w:sz w:val="24"/>
          <w:highlight w:val="none"/>
        </w:rPr>
        <w:t>（二）乙方的权利和义务</w:t>
      </w:r>
    </w:p>
    <w:p w14:paraId="76685816">
      <w:pPr>
        <w:spacing w:line="360" w:lineRule="auto"/>
        <w:ind w:firstLine="480" w:firstLineChars="200"/>
        <w:outlineLvl w:val="0"/>
        <w:rPr>
          <w:rFonts w:ascii="宋体" w:hAnsi="宋体" w:cs="宋体"/>
          <w:sz w:val="24"/>
          <w:highlight w:val="none"/>
        </w:rPr>
      </w:pPr>
      <w:r>
        <w:rPr>
          <w:rFonts w:hint="eastAsia" w:ascii="宋体" w:hAnsi="宋体" w:cs="宋体"/>
          <w:sz w:val="24"/>
          <w:highlight w:val="none"/>
        </w:rPr>
        <w:t>乙方权利：按照合同约定要求甲方及时付款。</w:t>
      </w:r>
    </w:p>
    <w:p w14:paraId="21F4526D">
      <w:pPr>
        <w:spacing w:line="360" w:lineRule="auto"/>
        <w:ind w:firstLine="480" w:firstLineChars="200"/>
        <w:rPr>
          <w:rFonts w:ascii="宋体" w:hAnsi="宋体" w:cs="宋体"/>
          <w:sz w:val="24"/>
          <w:highlight w:val="none"/>
        </w:rPr>
      </w:pPr>
      <w:r>
        <w:rPr>
          <w:rFonts w:hint="eastAsia" w:ascii="宋体" w:hAnsi="宋体" w:cs="宋体"/>
          <w:sz w:val="24"/>
          <w:highlight w:val="none"/>
        </w:rPr>
        <w:t>乙方义务：按照合同约定时间，按甲方指定地点提供服务，配合验收工作，并负责调试</w:t>
      </w:r>
      <w:r>
        <w:rPr>
          <w:rFonts w:hint="eastAsia" w:ascii="宋体" w:hAnsi="宋体" w:cs="宋体"/>
          <w:sz w:val="24"/>
          <w:highlight w:val="none"/>
          <w:lang w:eastAsia="zh-CN"/>
        </w:rPr>
        <w:t>完善</w:t>
      </w:r>
      <w:r>
        <w:rPr>
          <w:rFonts w:hint="eastAsia" w:ascii="宋体" w:hAnsi="宋体" w:cs="宋体"/>
          <w:sz w:val="24"/>
          <w:highlight w:val="none"/>
        </w:rPr>
        <w:t>，保证</w:t>
      </w:r>
      <w:r>
        <w:rPr>
          <w:rFonts w:hint="eastAsia" w:ascii="宋体" w:hAnsi="宋体" w:cs="宋体"/>
          <w:sz w:val="24"/>
          <w:highlight w:val="none"/>
          <w:lang w:eastAsia="zh-CN"/>
        </w:rPr>
        <w:t>设备设施正常运行，</w:t>
      </w:r>
      <w:r>
        <w:rPr>
          <w:rFonts w:hint="eastAsia" w:ascii="宋体" w:hAnsi="宋体" w:cs="宋体"/>
          <w:sz w:val="24"/>
          <w:highlight w:val="none"/>
        </w:rPr>
        <w:t>使用人员</w:t>
      </w:r>
      <w:r>
        <w:rPr>
          <w:rFonts w:hint="eastAsia" w:ascii="宋体" w:hAnsi="宋体" w:cs="宋体"/>
          <w:sz w:val="24"/>
          <w:highlight w:val="none"/>
          <w:lang w:eastAsia="zh-CN"/>
        </w:rPr>
        <w:t>能</w:t>
      </w:r>
      <w:r>
        <w:rPr>
          <w:rFonts w:hint="eastAsia" w:ascii="宋体" w:hAnsi="宋体" w:cs="宋体"/>
          <w:sz w:val="24"/>
          <w:highlight w:val="none"/>
        </w:rPr>
        <w:t>正常操作各种功能。</w:t>
      </w:r>
    </w:p>
    <w:p w14:paraId="2032B605">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五、交货条件：</w:t>
      </w:r>
    </w:p>
    <w:p w14:paraId="435F7563">
      <w:pPr>
        <w:spacing w:line="360" w:lineRule="auto"/>
        <w:ind w:left="420"/>
        <w:rPr>
          <w:rFonts w:ascii="宋体" w:hAnsi="宋体" w:cs="宋体"/>
          <w:sz w:val="24"/>
          <w:highlight w:val="none"/>
        </w:rPr>
      </w:pPr>
      <w:r>
        <w:rPr>
          <w:rFonts w:hint="eastAsia" w:ascii="宋体" w:hAnsi="宋体" w:cs="宋体"/>
          <w:sz w:val="24"/>
          <w:highlight w:val="none"/>
        </w:rPr>
        <w:t>（一）服务地点：甲方指定地点。</w:t>
      </w:r>
    </w:p>
    <w:p w14:paraId="03C74957">
      <w:pPr>
        <w:spacing w:line="360" w:lineRule="auto"/>
        <w:ind w:left="420"/>
        <w:rPr>
          <w:rFonts w:ascii="宋体" w:hAnsi="宋体" w:cs="宋体"/>
          <w:sz w:val="24"/>
          <w:highlight w:val="none"/>
        </w:rPr>
      </w:pPr>
      <w:r>
        <w:rPr>
          <w:rFonts w:hint="eastAsia" w:ascii="宋体" w:hAnsi="宋体" w:cs="宋体"/>
          <w:sz w:val="24"/>
          <w:highlight w:val="none"/>
        </w:rPr>
        <w:t>（二）交货时间：30个日历日</w:t>
      </w:r>
      <w:r>
        <w:rPr>
          <w:rFonts w:hint="eastAsia" w:ascii="宋体" w:hAnsi="宋体" w:cs="宋体"/>
          <w:sz w:val="24"/>
          <w:highlight w:val="none"/>
          <w:lang w:eastAsia="zh-CN"/>
        </w:rPr>
        <w:t>。</w:t>
      </w:r>
      <w:r>
        <w:rPr>
          <w:rFonts w:hint="eastAsia" w:ascii="宋体" w:hAnsi="宋体" w:cs="宋体"/>
          <w:sz w:val="24"/>
          <w:highlight w:val="none"/>
        </w:rPr>
        <w:t xml:space="preserve">      </w:t>
      </w:r>
    </w:p>
    <w:p w14:paraId="2A1A58C0">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六、运输</w:t>
      </w:r>
    </w:p>
    <w:p w14:paraId="5E70CEF2">
      <w:pPr>
        <w:spacing w:line="360" w:lineRule="auto"/>
        <w:ind w:firstLine="480" w:firstLineChars="200"/>
        <w:rPr>
          <w:rFonts w:ascii="宋体" w:hAnsi="宋体" w:cs="宋体"/>
          <w:sz w:val="24"/>
          <w:highlight w:val="none"/>
        </w:rPr>
      </w:pPr>
      <w:r>
        <w:rPr>
          <w:rFonts w:hint="eastAsia" w:ascii="宋体" w:hAnsi="宋体" w:cs="宋体"/>
          <w:sz w:val="24"/>
          <w:highlight w:val="none"/>
        </w:rPr>
        <w:t>（一）运输由乙方负责，运杂费已包含在合同总价内，包括从货物供应地点所含的运输费、装卸费、仓储费、保险费等。</w:t>
      </w:r>
    </w:p>
    <w:p w14:paraId="57C38060">
      <w:pPr>
        <w:spacing w:line="360" w:lineRule="auto"/>
        <w:ind w:left="420"/>
        <w:outlineLvl w:val="0"/>
        <w:rPr>
          <w:rFonts w:ascii="宋体" w:hAnsi="宋体" w:cs="宋体"/>
          <w:sz w:val="24"/>
          <w:highlight w:val="none"/>
        </w:rPr>
      </w:pPr>
      <w:r>
        <w:rPr>
          <w:rFonts w:hint="eastAsia" w:ascii="宋体" w:hAnsi="宋体" w:cs="宋体"/>
          <w:sz w:val="24"/>
          <w:highlight w:val="none"/>
        </w:rPr>
        <w:t>（二）运输方式由乙方自行选择，但必须保证按期交货。</w:t>
      </w:r>
    </w:p>
    <w:p w14:paraId="77ED1039">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七、质量保证</w:t>
      </w:r>
    </w:p>
    <w:p w14:paraId="3C8A25D9">
      <w:pPr>
        <w:spacing w:line="360" w:lineRule="auto"/>
        <w:ind w:firstLine="480" w:firstLineChars="200"/>
        <w:rPr>
          <w:rFonts w:ascii="宋体" w:hAnsi="宋体" w:cs="宋体"/>
          <w:sz w:val="24"/>
          <w:highlight w:val="none"/>
        </w:rPr>
      </w:pPr>
      <w:r>
        <w:rPr>
          <w:rFonts w:hint="eastAsia" w:ascii="宋体" w:hAnsi="宋体" w:cs="宋体"/>
          <w:sz w:val="24"/>
          <w:highlight w:val="none"/>
        </w:rPr>
        <w:t>乙方所</w:t>
      </w:r>
      <w:r>
        <w:rPr>
          <w:rFonts w:hint="eastAsia" w:ascii="宋体" w:hAnsi="宋体" w:cs="宋体"/>
          <w:sz w:val="24"/>
          <w:highlight w:val="none"/>
          <w:lang w:eastAsia="zh-CN"/>
        </w:rPr>
        <w:t>提</w:t>
      </w:r>
      <w:r>
        <w:rPr>
          <w:rFonts w:hint="eastAsia" w:ascii="宋体" w:hAnsi="宋体" w:cs="宋体"/>
          <w:sz w:val="24"/>
          <w:highlight w:val="none"/>
        </w:rPr>
        <w:t>供服务必须执行下列条款：</w:t>
      </w:r>
    </w:p>
    <w:p w14:paraId="5EB744C2">
      <w:pPr>
        <w:spacing w:line="360" w:lineRule="auto"/>
        <w:ind w:firstLine="480" w:firstLineChars="200"/>
        <w:rPr>
          <w:rFonts w:ascii="宋体" w:hAnsi="宋体" w:cs="宋体"/>
          <w:sz w:val="24"/>
          <w:highlight w:val="none"/>
        </w:rPr>
      </w:pPr>
      <w:r>
        <w:rPr>
          <w:rFonts w:hint="eastAsia" w:ascii="宋体" w:hAnsi="宋体" w:cs="宋体"/>
          <w:sz w:val="24"/>
          <w:highlight w:val="none"/>
        </w:rPr>
        <w:t>（一）保证技术指标先进、质量性能可靠、进货渠道正常，配置合理，全面满足谈判要求。</w:t>
      </w:r>
    </w:p>
    <w:p w14:paraId="53E0EF57">
      <w:pPr>
        <w:spacing w:line="360" w:lineRule="auto"/>
        <w:ind w:firstLine="480" w:firstLineChars="200"/>
        <w:rPr>
          <w:rFonts w:ascii="宋体" w:hAnsi="宋体" w:cs="宋体"/>
          <w:sz w:val="24"/>
          <w:highlight w:val="none"/>
        </w:rPr>
      </w:pPr>
      <w:r>
        <w:rPr>
          <w:rFonts w:hint="eastAsia" w:ascii="宋体" w:hAnsi="宋体" w:cs="宋体"/>
          <w:sz w:val="24"/>
          <w:highlight w:val="none"/>
        </w:rPr>
        <w:t>（二）符合国家有关规范要求，确保达到最佳运行</w:t>
      </w:r>
      <w:r>
        <w:rPr>
          <w:rFonts w:hint="eastAsia" w:ascii="宋体" w:hAnsi="宋体" w:cs="宋体"/>
          <w:sz w:val="24"/>
          <w:highlight w:val="none"/>
          <w:lang w:eastAsia="zh-CN"/>
        </w:rPr>
        <w:t>状</w:t>
      </w:r>
      <w:r>
        <w:rPr>
          <w:rFonts w:hint="eastAsia" w:ascii="宋体" w:hAnsi="宋体" w:cs="宋体"/>
          <w:sz w:val="24"/>
          <w:highlight w:val="none"/>
        </w:rPr>
        <w:t>态。</w:t>
      </w:r>
    </w:p>
    <w:p w14:paraId="5BC87D08">
      <w:pPr>
        <w:spacing w:line="360" w:lineRule="auto"/>
        <w:ind w:firstLine="480" w:firstLineChars="200"/>
        <w:rPr>
          <w:rFonts w:ascii="宋体" w:hAnsi="宋体" w:cs="宋体"/>
          <w:sz w:val="24"/>
          <w:highlight w:val="none"/>
        </w:rPr>
      </w:pPr>
      <w:r>
        <w:rPr>
          <w:rFonts w:hint="eastAsia" w:ascii="宋体" w:hAnsi="宋体" w:cs="宋体"/>
          <w:sz w:val="24"/>
          <w:highlight w:val="none"/>
        </w:rPr>
        <w:t>（三）具有良好的外观，适合安装场所的使用。</w:t>
      </w:r>
    </w:p>
    <w:p w14:paraId="1FCC9E71">
      <w:pPr>
        <w:spacing w:line="360" w:lineRule="auto"/>
        <w:ind w:firstLine="480" w:firstLineChars="200"/>
        <w:rPr>
          <w:rFonts w:hint="eastAsia" w:ascii="宋体" w:hAnsi="宋体" w:eastAsia="宋体" w:cs="宋体"/>
          <w:sz w:val="24"/>
          <w:highlight w:val="none"/>
          <w:lang w:eastAsia="zh-CN"/>
        </w:rPr>
      </w:pPr>
      <w:r>
        <w:rPr>
          <w:rFonts w:hint="eastAsia" w:ascii="宋体" w:hAnsi="宋体" w:cs="宋体"/>
          <w:sz w:val="24"/>
          <w:highlight w:val="none"/>
        </w:rPr>
        <w:t>（四）自安装、调试正常运行并验收合格之日起</w:t>
      </w:r>
      <w:r>
        <w:rPr>
          <w:rFonts w:hint="eastAsia" w:ascii="宋体" w:hAnsi="宋体" w:cs="宋体"/>
          <w:sz w:val="24"/>
          <w:highlight w:val="none"/>
          <w:lang w:eastAsia="zh-CN"/>
        </w:rPr>
        <w:t>。</w:t>
      </w:r>
    </w:p>
    <w:p w14:paraId="6BCC0BA4">
      <w:pPr>
        <w:spacing w:line="360" w:lineRule="auto"/>
        <w:ind w:firstLine="480" w:firstLineChars="200"/>
        <w:rPr>
          <w:rFonts w:ascii="宋体" w:hAnsi="宋体" w:cs="宋体"/>
          <w:sz w:val="24"/>
          <w:highlight w:val="none"/>
        </w:rPr>
      </w:pPr>
      <w:r>
        <w:rPr>
          <w:rFonts w:hint="eastAsia" w:ascii="宋体" w:hAnsi="宋体" w:cs="宋体"/>
          <w:sz w:val="24"/>
          <w:highlight w:val="none"/>
        </w:rPr>
        <w:t>（五）设备因产品质量或设计缺陷等问题</w:t>
      </w:r>
      <w:r>
        <w:rPr>
          <w:rFonts w:hint="eastAsia" w:ascii="宋体" w:hAnsi="宋体" w:cs="宋体"/>
          <w:sz w:val="24"/>
          <w:highlight w:val="none"/>
          <w:lang w:eastAsia="zh-CN"/>
        </w:rPr>
        <w:t>引发</w:t>
      </w:r>
      <w:r>
        <w:rPr>
          <w:rFonts w:hint="eastAsia" w:ascii="宋体" w:hAnsi="宋体" w:cs="宋体"/>
          <w:sz w:val="24"/>
          <w:highlight w:val="none"/>
        </w:rPr>
        <w:t>的</w:t>
      </w:r>
      <w:r>
        <w:rPr>
          <w:rFonts w:hint="eastAsia" w:ascii="宋体" w:hAnsi="宋体" w:cs="宋体"/>
          <w:sz w:val="24"/>
          <w:highlight w:val="none"/>
          <w:lang w:eastAsia="zh-CN"/>
        </w:rPr>
        <w:t>安全事故，所产生的</w:t>
      </w:r>
      <w:r>
        <w:rPr>
          <w:rFonts w:hint="eastAsia" w:ascii="宋体" w:hAnsi="宋体" w:cs="宋体"/>
          <w:sz w:val="24"/>
          <w:highlight w:val="none"/>
        </w:rPr>
        <w:t>经济责任及法律责任由乙方负全部责任，如果造成损失，由乙方赔偿甲方的全部损失包括直接损失和间接损失。包括给第三人造成人身损害、财产损失及医院支出的相关费用等）。</w:t>
      </w:r>
    </w:p>
    <w:p w14:paraId="3E73A1C8">
      <w:pPr>
        <w:spacing w:line="360" w:lineRule="auto"/>
        <w:ind w:firstLine="480" w:firstLineChars="200"/>
        <w:rPr>
          <w:rFonts w:ascii="宋体" w:hAnsi="宋体" w:cs="宋体"/>
          <w:sz w:val="24"/>
          <w:highlight w:val="none"/>
        </w:rPr>
      </w:pPr>
      <w:r>
        <w:rPr>
          <w:rFonts w:hint="eastAsia" w:ascii="宋体" w:hAnsi="宋体" w:cs="宋体"/>
          <w:sz w:val="24"/>
          <w:highlight w:val="none"/>
        </w:rPr>
        <w:t>（六）质保期内，乙方在约定的时间内未响应或未解决问题，甲方有权委托第三方进行维修，费用由乙方承担。</w:t>
      </w:r>
    </w:p>
    <w:p w14:paraId="1401F4B6">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八、售后服务</w:t>
      </w:r>
    </w:p>
    <w:p w14:paraId="6B2D89F5">
      <w:pPr>
        <w:spacing w:line="360" w:lineRule="auto"/>
        <w:ind w:firstLine="480" w:firstLineChars="200"/>
        <w:rPr>
          <w:rFonts w:ascii="宋体" w:hAnsi="宋体" w:cs="宋体"/>
          <w:sz w:val="24"/>
          <w:highlight w:val="none"/>
        </w:rPr>
      </w:pPr>
      <w:r>
        <w:rPr>
          <w:rFonts w:hint="eastAsia" w:ascii="宋体" w:hAnsi="宋体" w:cs="宋体"/>
          <w:sz w:val="24"/>
          <w:highlight w:val="none"/>
        </w:rPr>
        <w:t>乙方提供以下售后服务：</w:t>
      </w:r>
    </w:p>
    <w:p w14:paraId="109294B7">
      <w:pPr>
        <w:spacing w:line="360" w:lineRule="auto"/>
        <w:ind w:firstLine="480" w:firstLineChars="200"/>
        <w:rPr>
          <w:rFonts w:ascii="宋体" w:hAnsi="宋体" w:cs="宋体"/>
          <w:sz w:val="24"/>
          <w:highlight w:val="none"/>
        </w:rPr>
      </w:pPr>
      <w:r>
        <w:rPr>
          <w:rFonts w:hint="eastAsia" w:ascii="宋体" w:hAnsi="宋体" w:cs="宋体"/>
          <w:sz w:val="24"/>
          <w:highlight w:val="none"/>
        </w:rPr>
        <w:t>产品安装调试期间，提供原厂工程师上门安装调试和培训服务。同时承诺该项目的相关设备免费维保</w:t>
      </w:r>
      <w:r>
        <w:rPr>
          <w:rFonts w:hint="eastAsia" w:ascii="宋体" w:hAnsi="宋体" w:cs="宋体"/>
          <w:sz w:val="24"/>
          <w:highlight w:val="none"/>
          <w:lang w:eastAsia="zh-CN"/>
        </w:rPr>
        <w:t>一年</w:t>
      </w:r>
      <w:r>
        <w:rPr>
          <w:rFonts w:hint="eastAsia" w:ascii="宋体" w:hAnsi="宋体" w:cs="宋体"/>
          <w:sz w:val="24"/>
          <w:highlight w:val="none"/>
        </w:rPr>
        <w:t>。</w:t>
      </w:r>
    </w:p>
    <w:p w14:paraId="2D3CD784">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九、技术与服务</w:t>
      </w:r>
    </w:p>
    <w:p w14:paraId="6D464C4F">
      <w:pPr>
        <w:spacing w:line="360" w:lineRule="auto"/>
        <w:ind w:left="420"/>
        <w:outlineLvl w:val="0"/>
        <w:rPr>
          <w:rFonts w:ascii="宋体" w:hAnsi="宋体" w:cs="宋体"/>
          <w:sz w:val="24"/>
          <w:highlight w:val="none"/>
        </w:rPr>
      </w:pPr>
      <w:r>
        <w:rPr>
          <w:rFonts w:hint="eastAsia" w:ascii="宋体" w:hAnsi="宋体" w:cs="宋体"/>
          <w:sz w:val="24"/>
          <w:highlight w:val="none"/>
        </w:rPr>
        <w:t>（一）技术资料包括：</w:t>
      </w:r>
    </w:p>
    <w:p w14:paraId="77544760">
      <w:pPr>
        <w:spacing w:line="360" w:lineRule="auto"/>
        <w:ind w:left="420" w:firstLine="120" w:firstLineChars="50"/>
        <w:rPr>
          <w:rFonts w:ascii="宋体" w:hAnsi="宋体" w:cs="宋体"/>
          <w:sz w:val="24"/>
          <w:highlight w:val="none"/>
        </w:rPr>
      </w:pPr>
      <w:r>
        <w:rPr>
          <w:rFonts w:hint="eastAsia" w:ascii="宋体" w:hAnsi="宋体" w:cs="宋体"/>
          <w:sz w:val="24"/>
          <w:highlight w:val="none"/>
        </w:rPr>
        <w:t>1、货物使用说明书（中文）；</w:t>
      </w:r>
    </w:p>
    <w:p w14:paraId="4AEC0991">
      <w:pPr>
        <w:spacing w:line="360" w:lineRule="auto"/>
        <w:ind w:left="420" w:firstLine="120" w:firstLineChars="50"/>
        <w:rPr>
          <w:rFonts w:ascii="宋体" w:hAnsi="宋体" w:cs="宋体"/>
          <w:sz w:val="24"/>
          <w:highlight w:val="none"/>
        </w:rPr>
      </w:pPr>
      <w:r>
        <w:rPr>
          <w:rFonts w:hint="eastAsia" w:ascii="宋体" w:hAnsi="宋体" w:cs="宋体"/>
          <w:sz w:val="24"/>
          <w:highlight w:val="none"/>
        </w:rPr>
        <w:t>2、其它资料</w:t>
      </w:r>
      <w:r>
        <w:rPr>
          <w:rFonts w:hint="eastAsia" w:ascii="宋体" w:hAnsi="宋体" w:cs="宋体"/>
          <w:sz w:val="24"/>
          <w:highlight w:val="none"/>
          <w:lang w:eastAsia="zh-CN"/>
        </w:rPr>
        <w:t>（合格证、</w:t>
      </w:r>
      <w:r>
        <w:rPr>
          <w:rFonts w:hint="eastAsia" w:ascii="宋体" w:hAnsi="宋体" w:cs="宋体"/>
          <w:sz w:val="24"/>
          <w:highlight w:val="none"/>
          <w:lang w:val="en-US" w:eastAsia="zh-CN"/>
        </w:rPr>
        <w:t>质检报告</w:t>
      </w:r>
      <w:r>
        <w:rPr>
          <w:rFonts w:hint="eastAsia" w:ascii="宋体" w:hAnsi="宋体" w:cs="宋体"/>
          <w:sz w:val="24"/>
          <w:highlight w:val="none"/>
          <w:lang w:eastAsia="zh-CN"/>
        </w:rPr>
        <w:t>）</w:t>
      </w:r>
      <w:r>
        <w:rPr>
          <w:rFonts w:hint="eastAsia" w:ascii="宋体" w:hAnsi="宋体" w:cs="宋体"/>
          <w:sz w:val="24"/>
          <w:highlight w:val="none"/>
        </w:rPr>
        <w:t>。</w:t>
      </w:r>
    </w:p>
    <w:p w14:paraId="625BC9E4">
      <w:pPr>
        <w:spacing w:line="360" w:lineRule="auto"/>
        <w:ind w:firstLine="480" w:firstLineChars="200"/>
        <w:outlineLvl w:val="0"/>
        <w:rPr>
          <w:rFonts w:ascii="宋体" w:hAnsi="宋体" w:cs="宋体"/>
          <w:sz w:val="24"/>
          <w:highlight w:val="none"/>
        </w:rPr>
      </w:pPr>
      <w:r>
        <w:rPr>
          <w:rFonts w:hint="eastAsia" w:ascii="宋体" w:hAnsi="宋体" w:cs="宋体"/>
          <w:sz w:val="24"/>
          <w:highlight w:val="none"/>
        </w:rPr>
        <w:t>（二）服务承诺：以</w:t>
      </w:r>
      <w:r>
        <w:rPr>
          <w:rFonts w:hint="eastAsia" w:ascii="宋体" w:hAnsi="宋体" w:cs="宋体"/>
          <w:sz w:val="24"/>
          <w:highlight w:val="none"/>
          <w:lang w:eastAsia="zh-CN"/>
        </w:rPr>
        <w:t>招标文件、</w:t>
      </w:r>
      <w:r>
        <w:rPr>
          <w:rFonts w:hint="eastAsia" w:ascii="宋体" w:hAnsi="宋体" w:cs="宋体"/>
          <w:sz w:val="24"/>
          <w:highlight w:val="none"/>
        </w:rPr>
        <w:t>响应文件、合同和随货物的相关文件为准。</w:t>
      </w:r>
    </w:p>
    <w:p w14:paraId="323A35A5">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十、验收</w:t>
      </w:r>
    </w:p>
    <w:p w14:paraId="371485F9">
      <w:pPr>
        <w:spacing w:line="360" w:lineRule="auto"/>
        <w:ind w:firstLine="420"/>
        <w:rPr>
          <w:rFonts w:ascii="宋体" w:hAnsi="宋体" w:cs="宋体"/>
          <w:sz w:val="24"/>
          <w:highlight w:val="none"/>
        </w:rPr>
      </w:pPr>
      <w:r>
        <w:rPr>
          <w:rFonts w:hint="eastAsia" w:ascii="宋体" w:hAnsi="宋体" w:cs="宋体"/>
          <w:sz w:val="24"/>
          <w:highlight w:val="none"/>
        </w:rPr>
        <w:t>（一）货物安装、调试并正常运行后，由乙方进行自检，合格后，准备验收文件，并书面通知甲方。</w:t>
      </w:r>
    </w:p>
    <w:p w14:paraId="61CCBB84">
      <w:pPr>
        <w:spacing w:line="360" w:lineRule="auto"/>
        <w:ind w:firstLine="420"/>
        <w:rPr>
          <w:rFonts w:ascii="宋体" w:hAnsi="宋体" w:cs="宋体"/>
          <w:sz w:val="24"/>
          <w:highlight w:val="none"/>
        </w:rPr>
      </w:pPr>
      <w:r>
        <w:rPr>
          <w:rFonts w:hint="eastAsia" w:ascii="宋体" w:hAnsi="宋体" w:cs="宋体"/>
          <w:sz w:val="24"/>
          <w:highlight w:val="none"/>
        </w:rPr>
        <w:t>（二）甲方确认乙方的自检内容后，组织乙方（必要时请有关专家）进行系统验收，验收合格后，作为对货物的最终认可。</w:t>
      </w:r>
    </w:p>
    <w:p w14:paraId="2C2A7526">
      <w:pPr>
        <w:spacing w:line="360" w:lineRule="auto"/>
        <w:ind w:firstLine="420"/>
        <w:rPr>
          <w:rFonts w:ascii="宋体" w:hAnsi="宋体" w:cs="宋体"/>
          <w:sz w:val="24"/>
          <w:highlight w:val="none"/>
        </w:rPr>
      </w:pPr>
      <w:r>
        <w:rPr>
          <w:rFonts w:hint="eastAsia" w:ascii="宋体" w:hAnsi="宋体" w:cs="宋体"/>
          <w:sz w:val="24"/>
          <w:highlight w:val="none"/>
        </w:rPr>
        <w:t>（三）乙方在验收中应向甲方提交货物安装，调试过程中的所有资料包括本合同第九条（一）项要求的资料，以便甲方日后管理和维护。</w:t>
      </w:r>
    </w:p>
    <w:p w14:paraId="469EED4F">
      <w:pPr>
        <w:spacing w:line="360" w:lineRule="auto"/>
        <w:ind w:left="420"/>
        <w:rPr>
          <w:rFonts w:ascii="宋体" w:hAnsi="宋体" w:cs="宋体"/>
          <w:sz w:val="24"/>
          <w:highlight w:val="none"/>
        </w:rPr>
      </w:pPr>
      <w:r>
        <w:rPr>
          <w:rFonts w:hint="eastAsia" w:ascii="宋体" w:hAnsi="宋体" w:cs="宋体"/>
          <w:sz w:val="24"/>
          <w:highlight w:val="none"/>
        </w:rPr>
        <w:t>（四）验收依据：</w:t>
      </w:r>
    </w:p>
    <w:p w14:paraId="2C074C2D">
      <w:pPr>
        <w:spacing w:line="360" w:lineRule="auto"/>
        <w:ind w:left="420"/>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eastAsia="zh-CN"/>
        </w:rPr>
        <w:t>招标文件、</w:t>
      </w:r>
      <w:r>
        <w:rPr>
          <w:rFonts w:hint="eastAsia" w:ascii="宋体" w:hAnsi="宋体" w:cs="宋体"/>
          <w:sz w:val="24"/>
          <w:highlight w:val="none"/>
        </w:rPr>
        <w:t>响应文件；</w:t>
      </w:r>
    </w:p>
    <w:p w14:paraId="36BD5466">
      <w:pPr>
        <w:spacing w:line="360" w:lineRule="auto"/>
        <w:ind w:left="420"/>
        <w:rPr>
          <w:rFonts w:ascii="宋体" w:hAnsi="宋体" w:cs="宋体"/>
          <w:sz w:val="24"/>
          <w:highlight w:val="none"/>
        </w:rPr>
      </w:pPr>
      <w:r>
        <w:rPr>
          <w:rFonts w:hint="eastAsia" w:ascii="宋体" w:hAnsi="宋体" w:cs="宋体"/>
          <w:sz w:val="24"/>
          <w:highlight w:val="none"/>
        </w:rPr>
        <w:t>2、本合同及附件文本；</w:t>
      </w:r>
    </w:p>
    <w:p w14:paraId="6C53935E">
      <w:pPr>
        <w:spacing w:line="360" w:lineRule="auto"/>
        <w:ind w:left="420"/>
        <w:rPr>
          <w:rFonts w:ascii="宋体" w:hAnsi="宋体" w:cs="宋体"/>
          <w:sz w:val="24"/>
          <w:highlight w:val="none"/>
        </w:rPr>
      </w:pPr>
      <w:r>
        <w:rPr>
          <w:rFonts w:hint="eastAsia" w:ascii="宋体" w:hAnsi="宋体" w:cs="宋体"/>
          <w:sz w:val="24"/>
          <w:highlight w:val="none"/>
        </w:rPr>
        <w:t>3、国家相应的标准、规范。</w:t>
      </w:r>
    </w:p>
    <w:p w14:paraId="6658EC91">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十一、违约责任</w:t>
      </w:r>
    </w:p>
    <w:p w14:paraId="2CB68581">
      <w:pPr>
        <w:spacing w:line="360" w:lineRule="auto"/>
        <w:ind w:firstLine="480" w:firstLineChars="200"/>
        <w:rPr>
          <w:rFonts w:ascii="宋体" w:hAnsi="宋体" w:cs="宋体"/>
          <w:sz w:val="24"/>
          <w:highlight w:val="none"/>
        </w:rPr>
      </w:pPr>
      <w:r>
        <w:rPr>
          <w:rFonts w:hint="eastAsia" w:ascii="宋体" w:hAnsi="宋体" w:cs="宋体"/>
          <w:sz w:val="24"/>
          <w:highlight w:val="none"/>
        </w:rPr>
        <w:t>1、合同签订后，任何一方不得无故终止合同。如乙方单方终止合同，承担违约合同价款 30%的违约责任。</w:t>
      </w:r>
    </w:p>
    <w:p w14:paraId="5F66E66E">
      <w:pPr>
        <w:spacing w:line="360" w:lineRule="auto"/>
        <w:ind w:firstLine="480" w:firstLineChars="200"/>
        <w:rPr>
          <w:rFonts w:ascii="宋体" w:hAnsi="宋体" w:cs="宋体"/>
          <w:sz w:val="24"/>
          <w:highlight w:val="none"/>
        </w:rPr>
      </w:pPr>
      <w:r>
        <w:rPr>
          <w:rFonts w:hint="eastAsia" w:ascii="宋体" w:hAnsi="宋体" w:cs="宋体"/>
          <w:sz w:val="24"/>
          <w:highlight w:val="none"/>
        </w:rPr>
        <w:t>2、一方无法继续履行合同需终止履行并解除合同的，应及时通知另一方，因合同解除而造成的损失由责任方承担。</w:t>
      </w:r>
    </w:p>
    <w:p w14:paraId="6442EEE0">
      <w:pPr>
        <w:spacing w:line="360" w:lineRule="auto"/>
        <w:ind w:firstLine="480" w:firstLineChars="200"/>
        <w:rPr>
          <w:rFonts w:ascii="宋体" w:hAnsi="宋体" w:cs="宋体"/>
          <w:sz w:val="24"/>
          <w:highlight w:val="none"/>
        </w:rPr>
      </w:pPr>
      <w:r>
        <w:rPr>
          <w:rFonts w:hint="eastAsia" w:ascii="宋体" w:hAnsi="宋体" w:cs="宋体"/>
          <w:sz w:val="24"/>
          <w:highlight w:val="none"/>
        </w:rPr>
        <w:t>3、因甲方返工修理造成的工程延期交付，不视同工期延误。</w:t>
      </w:r>
    </w:p>
    <w:p w14:paraId="643E1701">
      <w:pPr>
        <w:tabs>
          <w:tab w:val="left" w:pos="8080"/>
        </w:tabs>
        <w:spacing w:line="360" w:lineRule="auto"/>
        <w:ind w:right="174" w:rightChars="83" w:firstLine="480" w:firstLineChars="200"/>
        <w:rPr>
          <w:rFonts w:ascii="宋体" w:hAnsi="宋体" w:cs="宋体"/>
          <w:sz w:val="24"/>
          <w:highlight w:val="none"/>
        </w:rPr>
      </w:pPr>
      <w:r>
        <w:rPr>
          <w:rFonts w:hint="eastAsia" w:ascii="宋体" w:hAnsi="宋体" w:cs="宋体"/>
          <w:sz w:val="24"/>
          <w:highlight w:val="none"/>
        </w:rPr>
        <w:t>4、因乙方原因造成工期延误的，每延误一天，由责任方按合同总价款的 0.5%向对方支付违约金，但不超过合同总造价的5%。同时因乙方延期交货给甲方造成损失的（包括但不限于直接损失、可期待利益等），乙方应承担全部赔偿责任</w:t>
      </w:r>
    </w:p>
    <w:p w14:paraId="2A99D866">
      <w:pPr>
        <w:spacing w:line="360" w:lineRule="auto"/>
        <w:ind w:firstLine="480" w:firstLineChars="200"/>
        <w:rPr>
          <w:rFonts w:ascii="宋体" w:hAnsi="宋体" w:cs="宋体"/>
          <w:sz w:val="24"/>
          <w:highlight w:val="none"/>
        </w:rPr>
      </w:pPr>
      <w:r>
        <w:rPr>
          <w:rFonts w:hint="eastAsia" w:ascii="宋体" w:hAnsi="宋体" w:cs="宋体"/>
          <w:sz w:val="24"/>
          <w:highlight w:val="none"/>
        </w:rPr>
        <w:t>5、发生特殊情况，非责任方可暂停合同履行，但应以书面形式告知对方暂停原因。</w:t>
      </w:r>
    </w:p>
    <w:p w14:paraId="7F5679A6">
      <w:pPr>
        <w:pStyle w:val="7"/>
        <w:spacing w:line="360" w:lineRule="auto"/>
        <w:ind w:firstLine="480"/>
        <w:rPr>
          <w:rFonts w:ascii="宋体" w:hAnsi="宋体" w:cs="宋体"/>
          <w:sz w:val="24"/>
          <w:szCs w:val="24"/>
          <w:highlight w:val="none"/>
        </w:rPr>
      </w:pPr>
      <w:r>
        <w:rPr>
          <w:rFonts w:hint="eastAsia" w:ascii="宋体" w:hAnsi="宋体" w:cs="宋体"/>
          <w:sz w:val="24"/>
          <w:szCs w:val="24"/>
          <w:highlight w:val="none"/>
        </w:rPr>
        <w:t>6、非甲方的原因，乙方在安装、调试的过程中造成甲方、乙方或第三方人员或财产损失的（包括但不限于实际损失、可预期损失、诉讼费及律师费等），乙方应承担全部责任。</w:t>
      </w:r>
    </w:p>
    <w:p w14:paraId="3B28411E">
      <w:pPr>
        <w:pStyle w:val="7"/>
        <w:spacing w:line="360" w:lineRule="auto"/>
        <w:ind w:firstLine="480"/>
        <w:rPr>
          <w:rFonts w:ascii="宋体" w:hAnsi="宋体" w:cs="宋体"/>
          <w:sz w:val="24"/>
          <w:szCs w:val="24"/>
          <w:highlight w:val="none"/>
        </w:rPr>
      </w:pPr>
      <w:r>
        <w:rPr>
          <w:rFonts w:hint="eastAsia" w:ascii="宋体" w:hAnsi="宋体" w:cs="宋体"/>
          <w:sz w:val="24"/>
          <w:szCs w:val="24"/>
          <w:highlight w:val="none"/>
        </w:rPr>
        <w:t>7、上述违约条款可合并适用，合并使用仍不能弥补甲方损失的，甲方有权向乙方继续追偿。</w:t>
      </w:r>
    </w:p>
    <w:p w14:paraId="38EF5343">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十二、合同争议解决的方式</w:t>
      </w:r>
    </w:p>
    <w:p w14:paraId="0897EE4B">
      <w:pPr>
        <w:spacing w:line="360" w:lineRule="auto"/>
        <w:ind w:firstLine="480" w:firstLineChars="200"/>
        <w:rPr>
          <w:rFonts w:ascii="宋体" w:hAnsi="宋体" w:cs="宋体"/>
          <w:sz w:val="24"/>
          <w:highlight w:val="none"/>
        </w:rPr>
      </w:pPr>
      <w:r>
        <w:rPr>
          <w:rFonts w:hint="eastAsia" w:ascii="宋体" w:hAnsi="宋体" w:cs="宋体"/>
          <w:sz w:val="24"/>
          <w:highlight w:val="none"/>
        </w:rPr>
        <w:t>本合同在履行过程中发生的争议，由甲、乙双方当事人协商解决，协商不成的按下列第（二）种方式解决：</w:t>
      </w:r>
    </w:p>
    <w:p w14:paraId="27094D34">
      <w:pPr>
        <w:spacing w:line="360" w:lineRule="auto"/>
        <w:ind w:firstLine="480" w:firstLineChars="200"/>
        <w:rPr>
          <w:rFonts w:ascii="宋体" w:hAnsi="宋体" w:cs="宋体"/>
          <w:sz w:val="24"/>
          <w:highlight w:val="none"/>
        </w:rPr>
      </w:pPr>
      <w:r>
        <w:rPr>
          <w:rFonts w:hint="eastAsia" w:ascii="宋体" w:hAnsi="宋体" w:cs="宋体"/>
          <w:sz w:val="24"/>
          <w:highlight w:val="none"/>
        </w:rPr>
        <w:t>（一）提交</w:t>
      </w:r>
      <w:r>
        <w:rPr>
          <w:rFonts w:hint="eastAsia" w:ascii="宋体" w:hAnsi="宋体" w:cs="宋体"/>
          <w:sz w:val="24"/>
          <w:highlight w:val="none"/>
          <w:u w:val="single"/>
        </w:rPr>
        <w:t>西安</w:t>
      </w:r>
      <w:r>
        <w:rPr>
          <w:rFonts w:hint="eastAsia" w:ascii="宋体" w:hAnsi="宋体" w:cs="宋体"/>
          <w:sz w:val="24"/>
          <w:highlight w:val="none"/>
        </w:rPr>
        <w:t xml:space="preserve">仲裁委员会仲裁；  </w:t>
      </w:r>
    </w:p>
    <w:p w14:paraId="5856F9B4">
      <w:pPr>
        <w:spacing w:line="360" w:lineRule="auto"/>
        <w:ind w:firstLine="480" w:firstLineChars="200"/>
        <w:rPr>
          <w:rFonts w:ascii="宋体" w:hAnsi="宋体" w:cs="宋体"/>
          <w:sz w:val="24"/>
          <w:highlight w:val="none"/>
        </w:rPr>
      </w:pPr>
      <w:r>
        <w:rPr>
          <w:rFonts w:hint="eastAsia" w:ascii="宋体" w:hAnsi="宋体" w:cs="宋体"/>
          <w:sz w:val="24"/>
          <w:highlight w:val="none"/>
        </w:rPr>
        <w:t>（二）依法向</w:t>
      </w:r>
      <w:r>
        <w:rPr>
          <w:rFonts w:hint="eastAsia" w:ascii="宋体" w:hAnsi="宋体" w:cs="宋体"/>
          <w:sz w:val="24"/>
          <w:highlight w:val="none"/>
          <w:u w:val="single"/>
        </w:rPr>
        <w:t>甲方</w:t>
      </w:r>
      <w:r>
        <w:rPr>
          <w:rFonts w:hint="eastAsia" w:ascii="宋体" w:hAnsi="宋体" w:cs="宋体"/>
          <w:sz w:val="24"/>
          <w:highlight w:val="none"/>
        </w:rPr>
        <w:t>所在地人民法院起诉。</w:t>
      </w:r>
    </w:p>
    <w:p w14:paraId="06B3CC99">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十三、合同生效</w:t>
      </w:r>
    </w:p>
    <w:p w14:paraId="321387E1">
      <w:pPr>
        <w:spacing w:line="360" w:lineRule="auto"/>
        <w:ind w:firstLine="480" w:firstLineChars="200"/>
        <w:rPr>
          <w:rFonts w:ascii="宋体" w:hAnsi="宋体" w:cs="宋体"/>
          <w:sz w:val="24"/>
          <w:highlight w:val="none"/>
        </w:rPr>
      </w:pPr>
      <w:r>
        <w:rPr>
          <w:rFonts w:hint="eastAsia" w:ascii="宋体" w:hAnsi="宋体" w:cs="宋体"/>
          <w:sz w:val="24"/>
          <w:highlight w:val="none"/>
        </w:rPr>
        <w:t>本合同一式</w:t>
      </w:r>
      <w:r>
        <w:rPr>
          <w:rFonts w:hint="eastAsia" w:ascii="宋体" w:hAnsi="宋体" w:cs="宋体"/>
          <w:sz w:val="24"/>
          <w:highlight w:val="none"/>
          <w:lang w:eastAsia="zh-CN"/>
        </w:rPr>
        <w:t>六</w:t>
      </w:r>
      <w:r>
        <w:rPr>
          <w:rFonts w:hint="eastAsia" w:ascii="宋体" w:hAnsi="宋体" w:cs="宋体"/>
          <w:sz w:val="24"/>
          <w:highlight w:val="none"/>
        </w:rPr>
        <w:t>份，甲方执</w:t>
      </w:r>
      <w:r>
        <w:rPr>
          <w:rFonts w:hint="eastAsia" w:ascii="宋体" w:hAnsi="宋体" w:cs="宋体"/>
          <w:sz w:val="24"/>
          <w:highlight w:val="none"/>
          <w:lang w:eastAsia="zh-CN"/>
        </w:rPr>
        <w:t>四</w:t>
      </w:r>
      <w:r>
        <w:rPr>
          <w:rFonts w:hint="eastAsia" w:ascii="宋体" w:hAnsi="宋体" w:cs="宋体"/>
          <w:sz w:val="24"/>
          <w:highlight w:val="none"/>
        </w:rPr>
        <w:t>份，乙方执</w:t>
      </w:r>
      <w:r>
        <w:rPr>
          <w:rFonts w:hint="eastAsia" w:ascii="宋体" w:hAnsi="宋体" w:cs="宋体"/>
          <w:sz w:val="24"/>
          <w:highlight w:val="none"/>
          <w:lang w:eastAsia="zh-CN"/>
        </w:rPr>
        <w:t>两</w:t>
      </w:r>
      <w:r>
        <w:rPr>
          <w:rFonts w:hint="eastAsia" w:ascii="宋体" w:hAnsi="宋体" w:cs="宋体"/>
          <w:sz w:val="24"/>
          <w:highlight w:val="none"/>
        </w:rPr>
        <w:t>份，本合同甲、乙、确认各方签字盖章后生效，合同执行完毕后，自动失效（合同的服务承诺则长期有效）。</w:t>
      </w:r>
    </w:p>
    <w:p w14:paraId="45CEA333">
      <w:pPr>
        <w:spacing w:before="156" w:beforeLines="50" w:line="360" w:lineRule="auto"/>
        <w:rPr>
          <w:rFonts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十四、其他事项</w:t>
      </w:r>
    </w:p>
    <w:p w14:paraId="26374E18">
      <w:pPr>
        <w:spacing w:line="360" w:lineRule="auto"/>
        <w:ind w:firstLine="480" w:firstLineChars="200"/>
        <w:rPr>
          <w:rFonts w:ascii="宋体" w:hAnsi="宋体" w:cs="宋体"/>
          <w:sz w:val="24"/>
          <w:highlight w:val="none"/>
        </w:rPr>
      </w:pPr>
      <w:r>
        <w:rPr>
          <w:rFonts w:hint="eastAsia" w:ascii="宋体" w:hAnsi="宋体" w:cs="宋体"/>
          <w:sz w:val="24"/>
          <w:highlight w:val="none"/>
        </w:rPr>
        <w:t>（一）招标文件、投标响应文件、成交通知书、合同附件均成为合同不可分割的部分。</w:t>
      </w:r>
    </w:p>
    <w:p w14:paraId="54CD4B7E">
      <w:pPr>
        <w:spacing w:line="360" w:lineRule="auto"/>
        <w:ind w:firstLine="480" w:firstLineChars="200"/>
        <w:rPr>
          <w:rFonts w:ascii="宋体" w:hAnsi="宋体" w:cs="宋体"/>
          <w:sz w:val="24"/>
          <w:highlight w:val="none"/>
        </w:rPr>
      </w:pPr>
      <w:r>
        <w:rPr>
          <w:rFonts w:hint="eastAsia" w:ascii="宋体" w:hAnsi="宋体" w:cs="宋体"/>
          <w:sz w:val="24"/>
          <w:highlight w:val="none"/>
        </w:rPr>
        <w:t>（二）合同未尽事宜，由甲、乙双方协商</w:t>
      </w:r>
      <w:r>
        <w:rPr>
          <w:rFonts w:hint="eastAsia" w:ascii="宋体" w:hAnsi="宋体" w:cs="宋体"/>
          <w:sz w:val="24"/>
          <w:highlight w:val="none"/>
          <w:lang w:eastAsia="zh-CN"/>
        </w:rPr>
        <w:t>解决</w:t>
      </w:r>
      <w:r>
        <w:rPr>
          <w:rFonts w:hint="eastAsia" w:ascii="宋体" w:hAnsi="宋体" w:cs="宋体"/>
          <w:sz w:val="24"/>
          <w:highlight w:val="none"/>
        </w:rPr>
        <w:t>，</w:t>
      </w:r>
      <w:r>
        <w:rPr>
          <w:rFonts w:hint="eastAsia" w:ascii="宋体" w:hAnsi="宋体" w:cs="宋体"/>
          <w:sz w:val="24"/>
          <w:highlight w:val="none"/>
          <w:lang w:eastAsia="zh-CN"/>
        </w:rPr>
        <w:t>可以签订补充协议</w:t>
      </w:r>
      <w:r>
        <w:rPr>
          <w:rFonts w:hint="eastAsia" w:ascii="宋体" w:hAnsi="宋体" w:cs="宋体"/>
          <w:sz w:val="24"/>
          <w:highlight w:val="none"/>
        </w:rPr>
        <w:t>，</w:t>
      </w:r>
      <w:r>
        <w:rPr>
          <w:rFonts w:hint="eastAsia" w:ascii="宋体" w:hAnsi="宋体" w:cs="宋体"/>
          <w:sz w:val="24"/>
          <w:highlight w:val="none"/>
          <w:lang w:eastAsia="zh-CN"/>
        </w:rPr>
        <w:t>补充协议</w:t>
      </w:r>
      <w:r>
        <w:rPr>
          <w:rFonts w:hint="eastAsia" w:ascii="宋体" w:hAnsi="宋体" w:cs="宋体"/>
          <w:sz w:val="24"/>
          <w:highlight w:val="none"/>
        </w:rPr>
        <w:t>与原合同具有同等法律效力。</w:t>
      </w:r>
    </w:p>
    <w:p w14:paraId="1BF6BE83">
      <w:pPr>
        <w:spacing w:line="360" w:lineRule="auto"/>
        <w:ind w:firstLine="480" w:firstLineChars="200"/>
        <w:rPr>
          <w:rFonts w:ascii="宋体" w:hAnsi="宋体" w:cs="宋体"/>
          <w:sz w:val="24"/>
          <w:highlight w:val="none"/>
        </w:rPr>
      </w:pPr>
      <w:r>
        <w:rPr>
          <w:rFonts w:hint="eastAsia" w:ascii="宋体" w:hAnsi="宋体" w:cs="宋体"/>
          <w:sz w:val="24"/>
          <w:highlight w:val="none"/>
        </w:rPr>
        <w:t>（三）合同一经签订，不得擅自变更、中止或终止合同。对确需变更、调整或中止、终止合同的，应按规定履行相应的手续。</w:t>
      </w:r>
    </w:p>
    <w:p w14:paraId="0A7C24FC">
      <w:pPr>
        <w:spacing w:line="360" w:lineRule="auto"/>
        <w:ind w:firstLine="480" w:firstLineChars="200"/>
        <w:rPr>
          <w:rFonts w:ascii="宋体" w:hAnsi="宋体" w:cs="宋体"/>
          <w:sz w:val="24"/>
          <w:highlight w:val="none"/>
        </w:rPr>
      </w:pPr>
      <w:r>
        <w:rPr>
          <w:rFonts w:hint="eastAsia" w:ascii="宋体" w:hAnsi="宋体" w:cs="宋体"/>
          <w:sz w:val="24"/>
          <w:highlight w:val="none"/>
        </w:rPr>
        <w:t>（四）本合同按照中华人民共和国的现行法律进行解释。</w:t>
      </w:r>
    </w:p>
    <w:p w14:paraId="372C017C">
      <w:pPr>
        <w:pStyle w:val="5"/>
        <w:rPr>
          <w:rFonts w:ascii="宋体" w:hAnsi="宋体" w:cs="宋体"/>
          <w:sz w:val="24"/>
          <w:highlight w:val="none"/>
        </w:rPr>
      </w:pPr>
    </w:p>
    <w:p w14:paraId="444B744F">
      <w:pPr>
        <w:tabs>
          <w:tab w:val="left" w:pos="480"/>
        </w:tabs>
        <w:rPr>
          <w:rFonts w:ascii="宋体" w:hAnsi="宋体" w:cs="宋体"/>
          <w:sz w:val="24"/>
          <w:szCs w:val="24"/>
          <w:highlight w:val="none"/>
        </w:rPr>
      </w:pPr>
    </w:p>
    <w:p w14:paraId="0B7242CE">
      <w:pPr>
        <w:tabs>
          <w:tab w:val="left" w:pos="480"/>
        </w:tabs>
        <w:spacing w:line="432" w:lineRule="auto"/>
        <w:rPr>
          <w:rFonts w:ascii="宋体" w:hAnsi="宋体" w:cs="宋体"/>
          <w:sz w:val="24"/>
          <w:szCs w:val="24"/>
          <w:highlight w:val="none"/>
        </w:rPr>
      </w:pPr>
      <w:r>
        <w:rPr>
          <w:rFonts w:hint="eastAsia" w:ascii="宋体" w:hAnsi="宋体" w:cs="宋体"/>
          <w:sz w:val="24"/>
          <w:szCs w:val="24"/>
          <w:highlight w:val="none"/>
        </w:rPr>
        <w:t xml:space="preserve">甲  方（法人公章）                     乙  方（法人公章） </w:t>
      </w:r>
    </w:p>
    <w:p w14:paraId="07E1D2A7">
      <w:pPr>
        <w:spacing w:line="432" w:lineRule="auto"/>
        <w:rPr>
          <w:rFonts w:ascii="宋体" w:hAnsi="宋体" w:cs="宋体"/>
          <w:sz w:val="24"/>
          <w:szCs w:val="24"/>
          <w:highlight w:val="none"/>
        </w:rPr>
      </w:pPr>
      <w:r>
        <w:rPr>
          <w:rFonts w:hint="eastAsia" w:ascii="宋体" w:hAnsi="宋体" w:cs="宋体"/>
          <w:sz w:val="24"/>
          <w:szCs w:val="24"/>
          <w:highlight w:val="none"/>
        </w:rPr>
        <w:t xml:space="preserve">单位名称：西安市第五医院               单位名称： </w:t>
      </w:r>
    </w:p>
    <w:p w14:paraId="14B17E24">
      <w:pPr>
        <w:tabs>
          <w:tab w:val="left" w:pos="480"/>
        </w:tabs>
        <w:spacing w:line="432" w:lineRule="auto"/>
        <w:ind w:left="5280" w:hanging="5280" w:hangingChars="2200"/>
        <w:rPr>
          <w:rFonts w:ascii="宋体" w:hAnsi="宋体" w:cs="宋体"/>
          <w:sz w:val="24"/>
          <w:szCs w:val="24"/>
          <w:highlight w:val="none"/>
        </w:rPr>
      </w:pPr>
      <w:r>
        <w:rPr>
          <w:rFonts w:hint="eastAsia" w:ascii="宋体" w:hAnsi="宋体" w:cs="宋体"/>
          <w:sz w:val="24"/>
          <w:szCs w:val="24"/>
          <w:highlight w:val="none"/>
        </w:rPr>
        <w:t>地  址：西安市莲湖区西关正街112号     地  址：</w:t>
      </w:r>
      <w:r>
        <w:rPr>
          <w:rFonts w:hint="eastAsia"/>
          <w:color w:val="000000"/>
          <w:sz w:val="24"/>
          <w:szCs w:val="24"/>
          <w:highlight w:val="none"/>
        </w:rPr>
        <w:t xml:space="preserve">  </w:t>
      </w:r>
    </w:p>
    <w:p w14:paraId="75251C7B">
      <w:pPr>
        <w:tabs>
          <w:tab w:val="left" w:pos="480"/>
        </w:tabs>
        <w:spacing w:line="432" w:lineRule="auto"/>
        <w:rPr>
          <w:rFonts w:ascii="宋体" w:hAnsi="宋体" w:cs="宋体"/>
          <w:sz w:val="24"/>
          <w:szCs w:val="24"/>
          <w:highlight w:val="none"/>
        </w:rPr>
      </w:pPr>
      <w:r>
        <w:rPr>
          <w:rFonts w:hint="eastAsia" w:ascii="宋体" w:hAnsi="宋体" w:cs="宋体"/>
          <w:sz w:val="24"/>
          <w:szCs w:val="24"/>
          <w:highlight w:val="none"/>
        </w:rPr>
        <w:t xml:space="preserve">经办人：                               经办人：                              </w:t>
      </w:r>
    </w:p>
    <w:p w14:paraId="2F8C298D">
      <w:pPr>
        <w:tabs>
          <w:tab w:val="left" w:pos="480"/>
        </w:tabs>
        <w:spacing w:line="432" w:lineRule="auto"/>
        <w:rPr>
          <w:rFonts w:ascii="宋体" w:hAnsi="宋体" w:cs="宋体"/>
          <w:sz w:val="24"/>
          <w:szCs w:val="24"/>
          <w:highlight w:val="none"/>
        </w:rPr>
      </w:pPr>
      <w:r>
        <w:rPr>
          <w:rFonts w:hint="eastAsia" w:ascii="宋体" w:hAnsi="宋体" w:cs="宋体"/>
          <w:sz w:val="24"/>
          <w:szCs w:val="24"/>
          <w:highlight w:val="none"/>
        </w:rPr>
        <w:t xml:space="preserve">主管院长：                                                                 </w:t>
      </w:r>
    </w:p>
    <w:p w14:paraId="50C6266F">
      <w:pPr>
        <w:tabs>
          <w:tab w:val="left" w:pos="480"/>
        </w:tabs>
        <w:suppressAutoHyphens/>
        <w:spacing w:line="432" w:lineRule="auto"/>
        <w:ind w:left="5040" w:hanging="5040" w:hangingChars="2100"/>
        <w:rPr>
          <w:rFonts w:ascii="宋体" w:hAnsi="宋体" w:cs="宋体"/>
          <w:sz w:val="24"/>
          <w:szCs w:val="24"/>
          <w:highlight w:val="none"/>
        </w:rPr>
      </w:pPr>
      <w:r>
        <w:rPr>
          <w:rFonts w:hint="eastAsia" w:ascii="宋体" w:hAnsi="宋体" w:cs="宋体"/>
          <w:sz w:val="24"/>
          <w:szCs w:val="24"/>
          <w:highlight w:val="none"/>
        </w:rPr>
        <w:t xml:space="preserve">法定代表人（签字或盖章）：             法定代表人（签字或盖章）：                                                          </w:t>
      </w:r>
    </w:p>
    <w:p w14:paraId="5926D3F1">
      <w:pPr>
        <w:tabs>
          <w:tab w:val="left" w:pos="480"/>
        </w:tabs>
        <w:suppressAutoHyphens/>
        <w:spacing w:line="432" w:lineRule="auto"/>
        <w:ind w:left="5988" w:leftChars="2280" w:hanging="1200" w:hangingChars="500"/>
        <w:rPr>
          <w:rFonts w:ascii="宋体" w:hAnsi="宋体" w:cs="宋体"/>
          <w:sz w:val="24"/>
          <w:szCs w:val="24"/>
          <w:highlight w:val="none"/>
        </w:rPr>
      </w:pPr>
      <w:r>
        <w:rPr>
          <w:rFonts w:hint="eastAsia" w:ascii="宋体" w:hAnsi="宋体" w:cs="宋体"/>
          <w:sz w:val="24"/>
          <w:szCs w:val="24"/>
          <w:highlight w:val="none"/>
        </w:rPr>
        <w:t>开户银行：</w:t>
      </w:r>
    </w:p>
    <w:p w14:paraId="426C4B0A">
      <w:pPr>
        <w:tabs>
          <w:tab w:val="left" w:pos="480"/>
        </w:tabs>
        <w:spacing w:line="432" w:lineRule="auto"/>
        <w:ind w:firstLine="4800" w:firstLineChars="2000"/>
        <w:rPr>
          <w:rFonts w:ascii="宋体" w:hAnsi="宋体" w:cs="宋体"/>
          <w:sz w:val="24"/>
          <w:szCs w:val="24"/>
          <w:highlight w:val="none"/>
        </w:rPr>
      </w:pPr>
      <w:r>
        <w:rPr>
          <w:rFonts w:hint="eastAsia" w:ascii="宋体" w:hAnsi="宋体" w:cs="宋体"/>
          <w:sz w:val="24"/>
          <w:szCs w:val="24"/>
          <w:highlight w:val="none"/>
        </w:rPr>
        <w:t xml:space="preserve">账  号：       </w:t>
      </w:r>
    </w:p>
    <w:p w14:paraId="799C7629">
      <w:pPr>
        <w:tabs>
          <w:tab w:val="left" w:pos="480"/>
        </w:tabs>
        <w:spacing w:line="432" w:lineRule="auto"/>
        <w:rPr>
          <w:highlight w:val="none"/>
        </w:rPr>
      </w:pPr>
      <w:r>
        <w:rPr>
          <w:rFonts w:hint="eastAsia" w:ascii="宋体" w:hAnsi="宋体" w:cs="宋体"/>
          <w:sz w:val="24"/>
          <w:szCs w:val="24"/>
          <w:highlight w:val="none"/>
        </w:rPr>
        <w:t>联系电话： 84696336                     联系电话：</w:t>
      </w:r>
    </w:p>
    <w:p w14:paraId="0E8FEF9B">
      <w:pPr>
        <w:tabs>
          <w:tab w:val="left" w:pos="480"/>
        </w:tabs>
        <w:spacing w:line="432" w:lineRule="auto"/>
        <w:rPr>
          <w:rFonts w:hint="eastAsia" w:ascii="宋体" w:hAnsi="宋体" w:cs="宋体"/>
          <w:sz w:val="24"/>
          <w:szCs w:val="24"/>
          <w:highlight w:val="none"/>
          <w:lang w:val="en-US" w:eastAsia="zh-Hans"/>
        </w:rPr>
      </w:pPr>
      <w:r>
        <w:rPr>
          <w:rFonts w:hint="eastAsia" w:ascii="宋体" w:hAnsi="宋体" w:cs="宋体"/>
          <w:sz w:val="24"/>
          <w:szCs w:val="24"/>
          <w:highlight w:val="none"/>
        </w:rPr>
        <w:t>签订日期：    年  月  日                签订日期：     年  月  日</w:t>
      </w:r>
    </w:p>
    <w:p w14:paraId="0024C3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12073D"/>
    <w:rsid w:val="23120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style>
  <w:style w:type="paragraph" w:styleId="4">
    <w:name w:val="Body Text Indent"/>
    <w:basedOn w:val="1"/>
    <w:unhideWhenUsed/>
    <w:qFormat/>
    <w:uiPriority w:val="99"/>
    <w:pPr>
      <w:spacing w:after="120"/>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w:basedOn w:val="3"/>
    <w:next w:val="1"/>
    <w:qFormat/>
    <w:uiPriority w:val="0"/>
    <w:pPr>
      <w:spacing w:line="360" w:lineRule="auto"/>
      <w:ind w:firstLine="200" w:firstLineChars="200"/>
    </w:pPr>
    <w:rPr>
      <w:rFonts w:ascii="仿宋_GB2312" w:eastAsia="仿宋_GB2312"/>
      <w:sz w:val="30"/>
      <w:szCs w:val="30"/>
    </w:rPr>
  </w:style>
  <w:style w:type="paragraph" w:styleId="7">
    <w:name w:val="Body Text First Indent 2"/>
    <w:basedOn w:val="4"/>
    <w:unhideWhenUsed/>
    <w:qFormat/>
    <w:uiPriority w:val="99"/>
    <w:pPr>
      <w:spacing w:after="0" w:line="640" w:lineRule="exact"/>
      <w:ind w:left="0" w:leftChars="0" w:firstLine="420" w:firstLineChars="200"/>
    </w:pPr>
    <w:rPr>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reader-word-layer"/>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2025-04-01T03:19:00Z</dcterms:created>
  <dc:creator>Administrator</dc:creator>
  <cp:lastModifiedBy>Administrator</cp:lastModifiedBy>
  <dcterms:modified xsi:type="dcterms:W3CDTF">2025-04-01T03:20:36Z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22FD8B15D14548C5BF509A32294D8152_11</vt:lpwstr>
  </property>
  <property fmtid="{D5CDD505-2E9C-101B-9397-08002B2CF9AE}" pid="4" name="KSOTemplateDocerSaveRecord">
    <vt:lpwstr>eyJoZGlkIjoiNjZlNmY0YmRkOTg0NTRlNzNhNGY1MjVmZDhhMjBhYzMiLCJ1c2VySWQiOiIyOTg4MTM4MTIifQ==</vt:lpwstr>
  </property>
</Properties>
</file>