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8A7359">
      <w:pPr>
        <w:jc w:val="center"/>
        <w:rPr>
          <w:rFonts w:ascii="仿宋" w:hAnsi="仿宋" w:eastAsia="仿宋" w:cs="仿宋"/>
          <w:b/>
          <w:color w:val="auto"/>
          <w:kern w:val="44"/>
          <w:sz w:val="36"/>
          <w:szCs w:val="36"/>
          <w:highlight w:val="none"/>
        </w:rPr>
      </w:pPr>
      <w:r>
        <w:rPr>
          <w:rFonts w:hint="eastAsia" w:ascii="仿宋" w:hAnsi="仿宋" w:eastAsia="仿宋" w:cs="仿宋"/>
          <w:b/>
          <w:color w:val="auto"/>
          <w:kern w:val="44"/>
          <w:sz w:val="36"/>
          <w:szCs w:val="36"/>
          <w:highlight w:val="none"/>
        </w:rPr>
        <w:t>S107环山旅游公路周鄠界至马召段改造提升</w:t>
      </w:r>
    </w:p>
    <w:p w14:paraId="6291129A">
      <w:pPr>
        <w:jc w:val="center"/>
        <w:rPr>
          <w:rFonts w:ascii="仿宋" w:hAnsi="仿宋" w:eastAsia="仿宋" w:cs="仿宋"/>
          <w:b/>
          <w:color w:val="auto"/>
          <w:kern w:val="44"/>
          <w:sz w:val="36"/>
          <w:szCs w:val="36"/>
          <w:highlight w:val="none"/>
        </w:rPr>
      </w:pPr>
      <w:r>
        <w:rPr>
          <w:rFonts w:hint="eastAsia" w:ascii="仿宋" w:hAnsi="仿宋" w:eastAsia="仿宋" w:cs="仿宋"/>
          <w:b/>
          <w:color w:val="auto"/>
          <w:kern w:val="44"/>
          <w:sz w:val="36"/>
          <w:szCs w:val="36"/>
          <w:highlight w:val="none"/>
        </w:rPr>
        <w:t>工程竣（交）工验收质量检测合同</w:t>
      </w:r>
    </w:p>
    <w:p w14:paraId="5EA84C57">
      <w:pPr>
        <w:widowControl w:val="0"/>
        <w:adjustRightInd w:val="0"/>
        <w:spacing w:line="315" w:lineRule="atLeast"/>
        <w:textAlignment w:val="baseline"/>
        <w:rPr>
          <w:rFonts w:ascii="Copperplate Gothic Bold" w:hAnsi="Copperplate Gothic Bold" w:eastAsia="宋体" w:cs="Times New Roman"/>
          <w:color w:val="auto"/>
          <w:sz w:val="28"/>
          <w:highlight w:val="none"/>
          <w:lang w:val="en-US" w:eastAsia="zh-CN" w:bidi="ar-SA"/>
        </w:rPr>
      </w:pPr>
    </w:p>
    <w:p w14:paraId="2A6A1D92">
      <w:pPr>
        <w:widowControl/>
        <w:spacing w:line="360" w:lineRule="auto"/>
        <w:contextualSpacing/>
        <w:rPr>
          <w:rFonts w:ascii="仿宋" w:hAnsi="仿宋" w:eastAsia="仿宋" w:cs="仿宋"/>
          <w:b/>
          <w:color w:val="auto"/>
          <w:kern w:val="0"/>
          <w:sz w:val="28"/>
          <w:szCs w:val="28"/>
          <w:highlight w:val="none"/>
          <w:u w:val="single"/>
        </w:rPr>
      </w:pPr>
      <w:r>
        <w:rPr>
          <w:rFonts w:hint="eastAsia" w:ascii="仿宋" w:hAnsi="仿宋" w:eastAsia="仿宋" w:cs="仿宋"/>
          <w:b/>
          <w:color w:val="auto"/>
          <w:kern w:val="0"/>
          <w:sz w:val="28"/>
          <w:szCs w:val="28"/>
          <w:highlight w:val="none"/>
        </w:rPr>
        <w:t>甲方：</w:t>
      </w:r>
      <w:r>
        <w:rPr>
          <w:rFonts w:hint="eastAsia" w:ascii="仿宋" w:hAnsi="仿宋" w:eastAsia="仿宋" w:cs="仿宋"/>
          <w:b/>
          <w:color w:val="auto"/>
          <w:kern w:val="0"/>
          <w:sz w:val="28"/>
          <w:szCs w:val="28"/>
          <w:highlight w:val="none"/>
          <w:u w:val="single"/>
        </w:rPr>
        <w:t>西安市公路工程管理处</w:t>
      </w:r>
    </w:p>
    <w:p w14:paraId="7856C95E">
      <w:pPr>
        <w:widowControl/>
        <w:spacing w:line="360" w:lineRule="auto"/>
        <w:contextualSpacing/>
        <w:rPr>
          <w:rFonts w:ascii="仿宋" w:hAnsi="仿宋" w:eastAsia="仿宋" w:cs="仿宋"/>
          <w:b/>
          <w:color w:val="auto"/>
          <w:kern w:val="0"/>
          <w:sz w:val="28"/>
          <w:szCs w:val="28"/>
          <w:highlight w:val="none"/>
          <w:u w:val="single"/>
        </w:rPr>
      </w:pPr>
      <w:r>
        <w:rPr>
          <w:rFonts w:hint="eastAsia" w:ascii="仿宋" w:hAnsi="仿宋" w:eastAsia="仿宋" w:cs="仿宋"/>
          <w:b/>
          <w:color w:val="auto"/>
          <w:kern w:val="0"/>
          <w:sz w:val="28"/>
          <w:szCs w:val="28"/>
          <w:highlight w:val="none"/>
        </w:rPr>
        <w:t>乙方：</w:t>
      </w:r>
      <w:r>
        <w:rPr>
          <w:rFonts w:hint="eastAsia" w:ascii="仿宋" w:hAnsi="仿宋" w:eastAsia="仿宋" w:cs="仿宋"/>
          <w:b/>
          <w:color w:val="auto"/>
          <w:kern w:val="0"/>
          <w:sz w:val="28"/>
          <w:szCs w:val="28"/>
          <w:highlight w:val="none"/>
          <w:u w:val="single"/>
        </w:rPr>
        <w:t xml:space="preserve">                    </w:t>
      </w:r>
    </w:p>
    <w:p w14:paraId="3FF24450">
      <w:pPr>
        <w:widowControl/>
        <w:adjustRightInd w:val="0"/>
        <w:snapToGrid w:val="0"/>
        <w:spacing w:line="576"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西安市公路工程管理处（以下简称甲方）为实施S107环山旅游公路周鄠界至马召段改造提升工程，依据2025年</w:t>
      </w:r>
      <w:r>
        <w:rPr>
          <w:rFonts w:hint="eastAsia" w:ascii="仿宋" w:hAnsi="仿宋" w:eastAsia="仿宋" w:cs="仿宋"/>
          <w:color w:val="auto"/>
          <w:kern w:val="0"/>
          <w:sz w:val="24"/>
          <w:highlight w:val="none"/>
          <w:u w:val="single"/>
          <w:lang w:val="en-US" w:eastAsia="zh-CN"/>
        </w:rPr>
        <w:t xml:space="preserve">     </w:t>
      </w:r>
      <w:r>
        <w:rPr>
          <w:rFonts w:hint="eastAsia" w:ascii="仿宋" w:hAnsi="仿宋" w:eastAsia="仿宋" w:cs="仿宋"/>
          <w:color w:val="auto"/>
          <w:kern w:val="0"/>
          <w:sz w:val="24"/>
          <w:highlight w:val="none"/>
        </w:rPr>
        <w:t>月政府采购完成的S107环山旅游公路周鄠界至马召段改造提升工程竣（交）工验收检测《磋商文件》《响应文件》及《成交通知书》，委托</w:t>
      </w:r>
      <w:r>
        <w:rPr>
          <w:rFonts w:hint="eastAsia" w:ascii="仿宋" w:hAnsi="仿宋" w:eastAsia="仿宋" w:cs="仿宋"/>
          <w:color w:val="auto"/>
          <w:kern w:val="0"/>
          <w:sz w:val="24"/>
          <w:highlight w:val="none"/>
          <w:u w:val="single"/>
          <w:lang w:val="en-US" w:eastAsia="zh-CN"/>
        </w:rPr>
        <w:t xml:space="preserve">                 </w:t>
      </w:r>
      <w:r>
        <w:rPr>
          <w:rFonts w:hint="eastAsia" w:ascii="仿宋" w:hAnsi="仿宋" w:eastAsia="仿宋" w:cs="仿宋"/>
          <w:color w:val="auto"/>
          <w:kern w:val="0"/>
          <w:sz w:val="24"/>
          <w:highlight w:val="none"/>
        </w:rPr>
        <w:t>（以下简称乙方）承担竣（交）工验收质量检测任务，为明确双方在合同期间的义务、责任等，经双方协商一致，达成如下合同条款，以兹共同遵守：</w:t>
      </w:r>
    </w:p>
    <w:p w14:paraId="6EB580C2">
      <w:pPr>
        <w:widowControl/>
        <w:adjustRightInd w:val="0"/>
        <w:snapToGrid w:val="0"/>
        <w:spacing w:line="576" w:lineRule="exact"/>
        <w:ind w:firstLine="562" w:firstLineChars="200"/>
        <w:jc w:val="left"/>
        <w:rPr>
          <w:rFonts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一、项目概况及检测内容</w:t>
      </w:r>
    </w:p>
    <w:p w14:paraId="62AF6BED">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1.1项目概况：路线检测范围起点K168+096，终点K193+020，长约24.924公里，公路等级为一级，设计速度为80公里/小时，施工内容为路面大中修养护工程。</w:t>
      </w:r>
    </w:p>
    <w:p w14:paraId="67601C2D">
      <w:pPr>
        <w:widowControl/>
        <w:adjustRightInd w:val="0"/>
        <w:snapToGrid w:val="0"/>
        <w:spacing w:line="576"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1.2检测内容：S107环山旅游公路周鄠界至马召段改造提升工程主线、香山寺服务区、团标养护工区竣（交）工验收试验检测，主要包括路基、路面、交安、绿化及机电、房建改造、机械设备大棚等施工建设内容。</w:t>
      </w:r>
    </w:p>
    <w:p w14:paraId="0C4A9F91">
      <w:pPr>
        <w:adjustRightInd w:val="0"/>
        <w:snapToGrid w:val="0"/>
        <w:spacing w:line="576" w:lineRule="exact"/>
        <w:ind w:firstLine="562" w:firstLineChars="200"/>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二、工作要求及时限</w:t>
      </w:r>
    </w:p>
    <w:p w14:paraId="33C4428C">
      <w:pPr>
        <w:tabs>
          <w:tab w:val="center" w:pos="4153"/>
          <w:tab w:val="right" w:pos="8306"/>
        </w:tabs>
        <w:adjustRightInd w:val="0"/>
        <w:snapToGrid w:val="0"/>
        <w:spacing w:line="576"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2.1工作要求：根据工程进度情况，按照甲方要求时间完成检测任务，及时向甲方提交竣（交）工检测报告。</w:t>
      </w:r>
    </w:p>
    <w:p w14:paraId="505EB575">
      <w:pPr>
        <w:tabs>
          <w:tab w:val="center" w:pos="4153"/>
          <w:tab w:val="right" w:pos="8306"/>
        </w:tabs>
        <w:adjustRightInd w:val="0"/>
        <w:snapToGrid w:val="0"/>
        <w:spacing w:line="576"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2.2时限：</w:t>
      </w:r>
      <w:r>
        <w:rPr>
          <w:rFonts w:hint="eastAsia" w:ascii="仿宋" w:hAnsi="仿宋" w:eastAsia="仿宋" w:cs="仿宋"/>
          <w:color w:val="auto"/>
          <w:sz w:val="24"/>
          <w:highlight w:val="none"/>
          <w:lang w:val="en-US" w:eastAsia="zh-CN"/>
        </w:rPr>
        <w:t>17个月。</w:t>
      </w:r>
      <w:r>
        <w:rPr>
          <w:rFonts w:hint="eastAsia" w:ascii="仿宋" w:hAnsi="仿宋" w:eastAsia="仿宋" w:cs="仿宋"/>
          <w:color w:val="auto"/>
          <w:sz w:val="24"/>
          <w:highlight w:val="none"/>
        </w:rPr>
        <w:t>合同签订后，在甲方提交所需文件、资料、图纸等情况下</w:t>
      </w:r>
      <w:r>
        <w:rPr>
          <w:rFonts w:hint="eastAsia" w:ascii="仿宋" w:hAnsi="仿宋" w:eastAsia="仿宋" w:cs="仿宋"/>
          <w:color w:val="auto"/>
          <w:sz w:val="24"/>
          <w:highlight w:val="none"/>
          <w:u w:val="none"/>
          <w:lang w:val="en-US" w:eastAsia="zh-CN"/>
        </w:rPr>
        <w:t>及时</w:t>
      </w:r>
      <w:r>
        <w:rPr>
          <w:rFonts w:hint="eastAsia" w:ascii="仿宋" w:hAnsi="仿宋" w:eastAsia="仿宋" w:cs="仿宋"/>
          <w:color w:val="auto"/>
          <w:sz w:val="24"/>
          <w:highlight w:val="none"/>
        </w:rPr>
        <w:t>完成检测任务，如遇不可抗因素，经甲乙双方协商一致，可延长服务期限。</w:t>
      </w:r>
    </w:p>
    <w:p w14:paraId="039B70C0">
      <w:pPr>
        <w:widowControl/>
        <w:adjustRightInd w:val="0"/>
        <w:snapToGrid w:val="0"/>
        <w:spacing w:line="576" w:lineRule="exact"/>
        <w:ind w:firstLine="562" w:firstLineChars="200"/>
        <w:jc w:val="left"/>
        <w:rPr>
          <w:rFonts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三、检测依据</w:t>
      </w:r>
    </w:p>
    <w:p w14:paraId="19CCFE35">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3.1交通运输部《公路工程竣（交）工验收办法》（交通运输部令2004年第3号）。</w:t>
      </w:r>
    </w:p>
    <w:p w14:paraId="3FDE88CB">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3.2交通运输部《公路工程竣（交）工验收办法实施细则》（交公路发〔2010〕65号）。</w:t>
      </w:r>
    </w:p>
    <w:p w14:paraId="5A3EE77C">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3.3交通运输部《公路养护工程质量检验评定标准》（土建工程）（JTG 5220-2020）。</w:t>
      </w:r>
    </w:p>
    <w:p w14:paraId="4BBB9BA7">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3.4交通运输部《公路水运工程质量检测管理办法》（2023年第9号）</w:t>
      </w:r>
    </w:p>
    <w:p w14:paraId="274B9629">
      <w:pPr>
        <w:widowControl/>
        <w:adjustRightInd w:val="0"/>
        <w:snapToGrid w:val="0"/>
        <w:spacing w:line="576"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3.5批准的施工图设计文件、合同文件和有关技术标准、规范和规程等。</w:t>
      </w:r>
    </w:p>
    <w:p w14:paraId="1F9C45B9">
      <w:pPr>
        <w:widowControl/>
        <w:adjustRightInd w:val="0"/>
        <w:snapToGrid w:val="0"/>
        <w:spacing w:line="576" w:lineRule="exact"/>
        <w:ind w:firstLine="562" w:firstLineChars="200"/>
        <w:jc w:val="left"/>
        <w:rPr>
          <w:rFonts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四、合同费用及支付方式</w:t>
      </w:r>
    </w:p>
    <w:p w14:paraId="7EF4459B">
      <w:pPr>
        <w:keepNext w:val="0"/>
        <w:keepLines/>
        <w:pageBreakBefore w:val="0"/>
        <w:widowControl/>
        <w:kinsoku/>
        <w:wordWrap w:val="0"/>
        <w:overflowPunct/>
        <w:topLinePunct/>
        <w:autoSpaceDE/>
        <w:autoSpaceDN/>
        <w:bidi w:val="0"/>
        <w:adjustRightInd w:val="0"/>
        <w:snapToGrid w:val="0"/>
        <w:spacing w:line="576" w:lineRule="exact"/>
        <w:ind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4.1本合同总价（含税）为人民币</w:t>
      </w:r>
      <w:r>
        <w:rPr>
          <w:rFonts w:hint="eastAsia" w:ascii="仿宋" w:hAnsi="仿宋" w:eastAsia="仿宋" w:cs="仿宋"/>
          <w:color w:val="auto"/>
          <w:kern w:val="0"/>
          <w:sz w:val="24"/>
          <w:highlight w:val="none"/>
          <w:u w:val="single"/>
          <w:lang w:val="en-US" w:eastAsia="zh-CN"/>
        </w:rPr>
        <w:t xml:space="preserve">           </w:t>
      </w:r>
      <w:r>
        <w:rPr>
          <w:rFonts w:hint="eastAsia" w:ascii="仿宋" w:hAnsi="仿宋" w:eastAsia="仿宋" w:cs="仿宋"/>
          <w:color w:val="auto"/>
          <w:kern w:val="0"/>
          <w:sz w:val="24"/>
          <w:highlight w:val="none"/>
        </w:rPr>
        <w:t>元（¥</w:t>
      </w:r>
      <w:r>
        <w:rPr>
          <w:rFonts w:hint="eastAsia" w:ascii="仿宋" w:hAnsi="仿宋" w:eastAsia="仿宋" w:cs="仿宋"/>
          <w:color w:val="auto"/>
          <w:kern w:val="0"/>
          <w:sz w:val="24"/>
          <w:highlight w:val="none"/>
          <w:u w:val="single"/>
          <w:lang w:val="en-US" w:eastAsia="zh-CN"/>
        </w:rPr>
        <w:t xml:space="preserve">              </w:t>
      </w:r>
      <w:r>
        <w:rPr>
          <w:rFonts w:hint="eastAsia" w:ascii="仿宋" w:hAnsi="仿宋" w:eastAsia="仿宋" w:cs="仿宋"/>
          <w:color w:val="auto"/>
          <w:kern w:val="0"/>
          <w:sz w:val="24"/>
          <w:highlight w:val="none"/>
        </w:rPr>
        <w:t>），费用包括</w:t>
      </w:r>
      <w:r>
        <w:rPr>
          <w:rFonts w:hint="eastAsia" w:ascii="仿宋" w:hAnsi="仿宋" w:eastAsia="仿宋" w:cs="仿宋"/>
          <w:color w:val="auto"/>
          <w:kern w:val="0"/>
          <w:sz w:val="24"/>
          <w:highlight w:val="none"/>
          <w:u w:val="single"/>
          <w:lang w:val="en-US" w:eastAsia="zh-CN"/>
        </w:rPr>
        <w:t xml:space="preserve">  劳务   </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u w:val="single"/>
          <w:lang w:val="en-US" w:eastAsia="zh-CN"/>
        </w:rPr>
        <w:t xml:space="preserve">  材料设备  </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u w:val="single"/>
          <w:lang w:val="en-US" w:eastAsia="zh-CN"/>
        </w:rPr>
        <w:t xml:space="preserve">  管理费  </w:t>
      </w:r>
      <w:r>
        <w:rPr>
          <w:rFonts w:hint="eastAsia" w:ascii="仿宋" w:hAnsi="仿宋" w:eastAsia="仿宋" w:cs="仿宋"/>
          <w:color w:val="auto"/>
          <w:kern w:val="0"/>
          <w:sz w:val="24"/>
          <w:highlight w:val="none"/>
        </w:rPr>
        <w:t>等其它一切相关费用，费用计算详见附表“检测费用计算表”。</w:t>
      </w:r>
    </w:p>
    <w:p w14:paraId="25CD76BB">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4.2支付方式</w:t>
      </w:r>
    </w:p>
    <w:p w14:paraId="72EBC5D4">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4.2.1开始现场检测工作后14日内，由甲方向乙方支付合同总价30%的预付款，即人民币</w:t>
      </w:r>
      <w:r>
        <w:rPr>
          <w:rFonts w:hint="eastAsia" w:ascii="仿宋" w:hAnsi="仿宋" w:eastAsia="仿宋" w:cs="仿宋"/>
          <w:color w:val="auto"/>
          <w:kern w:val="0"/>
          <w:sz w:val="24"/>
          <w:highlight w:val="none"/>
          <w:u w:val="single"/>
          <w:lang w:val="en-US" w:eastAsia="zh-CN"/>
        </w:rPr>
        <w:t xml:space="preserve">     </w:t>
      </w:r>
      <w:r>
        <w:rPr>
          <w:rFonts w:hint="eastAsia" w:ascii="仿宋" w:hAnsi="仿宋" w:eastAsia="仿宋" w:cs="仿宋"/>
          <w:color w:val="auto"/>
          <w:kern w:val="0"/>
          <w:sz w:val="24"/>
          <w:highlight w:val="none"/>
        </w:rPr>
        <w:t>元（¥</w:t>
      </w:r>
      <w:r>
        <w:rPr>
          <w:rFonts w:hint="eastAsia" w:ascii="仿宋" w:hAnsi="仿宋" w:eastAsia="仿宋" w:cs="仿宋"/>
          <w:color w:val="auto"/>
          <w:kern w:val="0"/>
          <w:sz w:val="24"/>
          <w:highlight w:val="none"/>
          <w:u w:val="single"/>
          <w:lang w:val="en-US" w:eastAsia="zh-CN"/>
        </w:rPr>
        <w:t xml:space="preserve">        </w:t>
      </w:r>
      <w:r>
        <w:rPr>
          <w:rFonts w:hint="eastAsia" w:ascii="仿宋" w:hAnsi="仿宋" w:eastAsia="仿宋" w:cs="仿宋"/>
          <w:color w:val="auto"/>
          <w:kern w:val="0"/>
          <w:sz w:val="24"/>
          <w:highlight w:val="none"/>
        </w:rPr>
        <w:t>）。</w:t>
      </w:r>
    </w:p>
    <w:p w14:paraId="658DD5E3">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4.2.2在项目整体竣（交）工验收检测工作完成后14日内，乙方提交竣（交）工验收检测报告后，由甲方向乙方支付合同总价的70%，即人民币元</w:t>
      </w:r>
      <w:r>
        <w:rPr>
          <w:rFonts w:hint="eastAsia" w:ascii="仿宋" w:hAnsi="仿宋" w:eastAsia="仿宋" w:cs="仿宋"/>
          <w:color w:val="auto"/>
          <w:kern w:val="0"/>
          <w:sz w:val="24"/>
          <w:highlight w:val="none"/>
          <w:u w:val="single"/>
          <w:lang w:val="en-US" w:eastAsia="zh-CN"/>
        </w:rPr>
        <w:t xml:space="preserve">          </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u w:val="single"/>
          <w:lang w:val="en-US" w:eastAsia="zh-CN"/>
        </w:rPr>
        <w:t xml:space="preserve">      </w:t>
      </w:r>
      <w:r>
        <w:rPr>
          <w:rFonts w:hint="eastAsia" w:ascii="仿宋" w:hAnsi="仿宋" w:eastAsia="仿宋" w:cs="仿宋"/>
          <w:color w:val="auto"/>
          <w:kern w:val="0"/>
          <w:sz w:val="24"/>
          <w:highlight w:val="none"/>
        </w:rPr>
        <w:t>）。</w:t>
      </w:r>
    </w:p>
    <w:p w14:paraId="31B9067B">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4.3 甲方每次付款前，乙方应提供等额正式发票。甲方将款项付至乙方指定账户视为履行了付款义务。</w:t>
      </w:r>
    </w:p>
    <w:p w14:paraId="66B86ACE">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乙方指定账户为：</w:t>
      </w:r>
    </w:p>
    <w:p w14:paraId="31EE6FC5">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开户名称：</w:t>
      </w:r>
    </w:p>
    <w:p w14:paraId="49C83FE5">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开户银行：</w:t>
      </w:r>
    </w:p>
    <w:p w14:paraId="62577903">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账    号：</w:t>
      </w:r>
    </w:p>
    <w:p w14:paraId="02897570">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4.4甲方开票信息</w:t>
      </w:r>
    </w:p>
    <w:p w14:paraId="586CB378">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单位名称：西安市公路工程管理处</w:t>
      </w:r>
    </w:p>
    <w:p w14:paraId="35BC6D88">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统一社会信用代码：12610100437203249F</w:t>
      </w:r>
    </w:p>
    <w:p w14:paraId="2198F139">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基本户账号：78570188000075116</w:t>
      </w:r>
    </w:p>
    <w:p w14:paraId="5A46AA7B">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基本户开户行：光大银行西安南郊支行</w:t>
      </w:r>
    </w:p>
    <w:p w14:paraId="734904A0">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单位地址：雁塔区含光南路218号交通信息大厦</w:t>
      </w:r>
    </w:p>
    <w:p w14:paraId="4C9B3FF8">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单位联系电话：029-88215565</w:t>
      </w:r>
    </w:p>
    <w:p w14:paraId="2C5822E7">
      <w:pPr>
        <w:widowControl/>
        <w:adjustRightInd w:val="0"/>
        <w:snapToGrid w:val="0"/>
        <w:spacing w:line="576"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4.5对检测后因工程质量问题而加固、补救后的质量补充检测费用不含在本合同内，需重新增加检测费用时，另签补充合同。</w:t>
      </w:r>
    </w:p>
    <w:p w14:paraId="0A87DCA8">
      <w:pPr>
        <w:widowControl/>
        <w:adjustRightInd w:val="0"/>
        <w:snapToGrid w:val="0"/>
        <w:spacing w:line="576" w:lineRule="exact"/>
        <w:ind w:firstLine="562" w:firstLineChars="200"/>
        <w:jc w:val="left"/>
        <w:rPr>
          <w:rFonts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五、责任和义务</w:t>
      </w:r>
    </w:p>
    <w:p w14:paraId="303CFACC">
      <w:pPr>
        <w:adjustRightInd w:val="0"/>
        <w:snapToGrid w:val="0"/>
        <w:spacing w:line="576"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5.1甲方</w:t>
      </w:r>
    </w:p>
    <w:p w14:paraId="70DCCE64">
      <w:pPr>
        <w:adjustRightInd w:val="0"/>
        <w:snapToGrid w:val="0"/>
        <w:spacing w:line="576"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5.1.1甲方负责向乙方提供批准的施工图设计文件、设计变更文件、竣工资料和相关质量、技术文件。</w:t>
      </w:r>
    </w:p>
    <w:p w14:paraId="189BFD09">
      <w:pPr>
        <w:adjustRightInd w:val="0"/>
        <w:snapToGrid w:val="0"/>
        <w:spacing w:line="576"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5.1.2甲方应组织施工、监理等参建单位积极配合质量鉴定检测工作，负责做好现场检测有关配合和协调工作。</w:t>
      </w:r>
    </w:p>
    <w:p w14:paraId="19C5EA87">
      <w:pPr>
        <w:adjustRightInd w:val="0"/>
        <w:snapToGrid w:val="0"/>
        <w:spacing w:line="576"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5.1.3甲方有权直接对乙方工作质量、进度进行检查。甲方对乙方提出的有关需要甲方解决的问题，及时答复并处理。</w:t>
      </w:r>
    </w:p>
    <w:p w14:paraId="67B10F24">
      <w:pPr>
        <w:adjustRightInd w:val="0"/>
        <w:snapToGrid w:val="0"/>
        <w:spacing w:line="576"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5.1.4甲方应按本合同约定向乙方按期支付合同费用。</w:t>
      </w:r>
    </w:p>
    <w:p w14:paraId="715E9021">
      <w:pPr>
        <w:adjustRightInd w:val="0"/>
        <w:snapToGrid w:val="0"/>
        <w:spacing w:line="576"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5.2乙方</w:t>
      </w:r>
    </w:p>
    <w:p w14:paraId="0CD33C58">
      <w:pPr>
        <w:adjustRightInd w:val="0"/>
        <w:snapToGrid w:val="0"/>
        <w:spacing w:line="576"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5.2.1按照本合同第三条的检测依据开展检测工作，按规定的检查项目和频率进行质量鉴定检测。</w:t>
      </w:r>
    </w:p>
    <w:p w14:paraId="41F53BF7">
      <w:pPr>
        <w:adjustRightInd w:val="0"/>
        <w:snapToGrid w:val="0"/>
        <w:spacing w:line="576"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5.2.2科学、公正地进行检测工作，客观、真实地反映工程质量，对检测数据和成果的真实性负责并负技术责任。</w:t>
      </w:r>
    </w:p>
    <w:p w14:paraId="3CCCE7B2">
      <w:pPr>
        <w:adjustRightInd w:val="0"/>
        <w:snapToGrid w:val="0"/>
        <w:spacing w:line="576"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5.2.3检测工作结束后，认真、详细汇总检测数据、资料，向甲方提交完整的工程质量检测资料和检测报告；</w:t>
      </w:r>
    </w:p>
    <w:p w14:paraId="580BF689">
      <w:pPr>
        <w:adjustRightInd w:val="0"/>
        <w:snapToGrid w:val="0"/>
        <w:spacing w:line="576"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5.2.4做好检测组织管理工作，并接受质量监督部门的监督检查。</w:t>
      </w:r>
    </w:p>
    <w:p w14:paraId="7999FD18">
      <w:pPr>
        <w:adjustRightInd w:val="0"/>
        <w:snapToGrid w:val="0"/>
        <w:spacing w:line="576"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5.2.5对甲方交给的技术资料、样品等妥善保管；在合同履行过程中，如发现继续工作对材料、样品或设备等有损坏危险时，应中止工作，并及时通知甲方；工作完成后应归还上述技术资料、样品，不得擅自存留复制品。</w:t>
      </w:r>
    </w:p>
    <w:p w14:paraId="325E58FB">
      <w:pPr>
        <w:adjustRightInd w:val="0"/>
        <w:snapToGrid w:val="0"/>
        <w:spacing w:line="576"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5.2.6竣（交）工验收质量检测过程中所需的相关设备及人员均由乙方自行提供。</w:t>
      </w:r>
    </w:p>
    <w:p w14:paraId="54DE524B">
      <w:pPr>
        <w:adjustRightInd w:val="0"/>
        <w:snapToGrid w:val="0"/>
        <w:spacing w:line="576" w:lineRule="exact"/>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5.2.7 严格按相关安全规定开展工作，不得违章作业。对检测过程的作业人员、车辆、设备负有安全保障责任，在服务期间出现的任何安全问题自行负责，与甲方无关。</w:t>
      </w:r>
    </w:p>
    <w:p w14:paraId="07ACA2AD">
      <w:pPr>
        <w:adjustRightInd w:val="0"/>
        <w:snapToGrid w:val="0"/>
        <w:spacing w:line="576" w:lineRule="exact"/>
        <w:ind w:firstLine="562" w:firstLineChars="200"/>
        <w:rPr>
          <w:rFonts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六、成果和资料的保密与归属</w:t>
      </w:r>
    </w:p>
    <w:p w14:paraId="0AAE567F">
      <w:pPr>
        <w:adjustRightInd w:val="0"/>
        <w:snapToGrid w:val="0"/>
        <w:spacing w:line="576"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6.1 成果的交付：乙方应向甲方交付最终成果纸质版</w:t>
      </w:r>
      <w:r>
        <w:rPr>
          <w:rFonts w:hint="eastAsia" w:ascii="仿宋" w:hAnsi="仿宋" w:eastAsia="仿宋" w:cs="仿宋"/>
          <w:color w:val="auto"/>
          <w:kern w:val="0"/>
          <w:sz w:val="24"/>
          <w:highlight w:val="none"/>
          <w:u w:val="single"/>
          <w:lang w:val="en-US" w:eastAsia="zh-CN"/>
        </w:rPr>
        <w:t xml:space="preserve">      </w:t>
      </w:r>
      <w:r>
        <w:rPr>
          <w:rFonts w:hint="eastAsia" w:ascii="仿宋" w:hAnsi="仿宋" w:eastAsia="仿宋" w:cs="仿宋"/>
          <w:color w:val="auto"/>
          <w:kern w:val="0"/>
          <w:sz w:val="24"/>
          <w:highlight w:val="none"/>
        </w:rPr>
        <w:t>份、电子版1份。</w:t>
      </w:r>
    </w:p>
    <w:p w14:paraId="74907BE5">
      <w:pPr>
        <w:adjustRightInd w:val="0"/>
        <w:snapToGrid w:val="0"/>
        <w:spacing w:line="576"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6.2 乙方在项目实施过程中形成的所有原始资料、过程资料、最终成果及所涉知识产权归甲方所有，未经甲方书面同意，所有资料不得以任何方式、任何理由向第三方披露或提供，不得向任何人透露有关内容。</w:t>
      </w:r>
    </w:p>
    <w:p w14:paraId="50D183B1">
      <w:pPr>
        <w:adjustRightInd w:val="0"/>
        <w:snapToGrid w:val="0"/>
        <w:spacing w:line="576" w:lineRule="exact"/>
        <w:ind w:firstLine="480" w:firstLineChars="200"/>
        <w:rPr>
          <w:rFonts w:ascii="仿宋" w:hAnsi="仿宋" w:eastAsia="仿宋" w:cs="仿宋"/>
          <w:b/>
          <w:color w:val="auto"/>
          <w:kern w:val="0"/>
          <w:sz w:val="24"/>
          <w:highlight w:val="none"/>
        </w:rPr>
      </w:pPr>
      <w:r>
        <w:rPr>
          <w:rFonts w:hint="eastAsia" w:ascii="仿宋" w:hAnsi="仿宋" w:eastAsia="仿宋" w:cs="仿宋"/>
          <w:color w:val="auto"/>
          <w:kern w:val="0"/>
          <w:sz w:val="24"/>
          <w:highlight w:val="none"/>
        </w:rPr>
        <w:t>6.3 双方均有义务对属于对方的技术和经济秘密进行保护，未经同意不得将对方的资料、成果用于本合同以外的项目。</w:t>
      </w:r>
    </w:p>
    <w:p w14:paraId="6158CACD">
      <w:pPr>
        <w:widowControl/>
        <w:adjustRightInd w:val="0"/>
        <w:snapToGrid w:val="0"/>
        <w:spacing w:line="576" w:lineRule="exact"/>
        <w:ind w:firstLine="562" w:firstLineChars="200"/>
        <w:jc w:val="left"/>
        <w:rPr>
          <w:rFonts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七、违约责任</w:t>
      </w:r>
    </w:p>
    <w:p w14:paraId="3377B978">
      <w:pPr>
        <w:tabs>
          <w:tab w:val="center" w:pos="4153"/>
          <w:tab w:val="right" w:pos="8306"/>
        </w:tabs>
        <w:adjustRightInd w:val="0"/>
        <w:snapToGrid w:val="0"/>
        <w:spacing w:line="576"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7.1因甲方未能按时向乙方提供资料、合同费用等原因，造成乙方工作延期，责任由甲方承担，顺延工期并尽快向乙方提供所需资料及合同费用等。</w:t>
      </w:r>
    </w:p>
    <w:p w14:paraId="5DE9529F">
      <w:pPr>
        <w:tabs>
          <w:tab w:val="center" w:pos="4153"/>
          <w:tab w:val="right" w:pos="8306"/>
        </w:tabs>
        <w:adjustRightInd w:val="0"/>
        <w:snapToGrid w:val="0"/>
        <w:spacing w:line="576"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7.2因乙方原因导致成果未按时完成，对甲方造成影响的，责任由乙方承担并尽快完成。因乙方原因导致检测数据不真实、检测结论不公正时，乙方应无条件重新检测完成结论，甲方由此造成的损失由乙方承担。</w:t>
      </w:r>
    </w:p>
    <w:p w14:paraId="5ADFC2AF">
      <w:pPr>
        <w:tabs>
          <w:tab w:val="center" w:pos="4153"/>
          <w:tab w:val="right" w:pos="8306"/>
        </w:tabs>
        <w:adjustRightInd w:val="0"/>
        <w:snapToGrid w:val="0"/>
        <w:spacing w:line="576"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7.3甲方按合同约定向乙方支付预付款后，若合同正常履行，预付款视为合同价款的一部分，不予扣回；若乙方不能按期提交工作成果且因乙方原因导致工作无法继续推进的情况下，乙方应无条件退还全部预付款。</w:t>
      </w:r>
    </w:p>
    <w:p w14:paraId="5787A40A">
      <w:pPr>
        <w:adjustRightInd w:val="0"/>
        <w:snapToGrid w:val="0"/>
        <w:spacing w:line="576" w:lineRule="exact"/>
        <w:ind w:firstLine="562" w:firstLineChars="200"/>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八、争议及解决方法</w:t>
      </w:r>
    </w:p>
    <w:p w14:paraId="07A6AA9C">
      <w:pPr>
        <w:adjustRightInd w:val="0"/>
        <w:snapToGrid w:val="0"/>
        <w:spacing w:line="576" w:lineRule="exact"/>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因履行本合同发生争议，由合同双方协商解决，协商不成的，提交西安仲裁委员会仲裁。</w:t>
      </w:r>
    </w:p>
    <w:p w14:paraId="4CD8B82D">
      <w:pPr>
        <w:widowControl/>
        <w:adjustRightInd w:val="0"/>
        <w:snapToGrid w:val="0"/>
        <w:spacing w:line="576" w:lineRule="exact"/>
        <w:ind w:firstLine="562" w:firstLineChars="200"/>
        <w:jc w:val="left"/>
        <w:rPr>
          <w:rFonts w:ascii="仿宋" w:hAnsi="仿宋" w:eastAsia="仿宋" w:cs="仿宋"/>
          <w:b/>
          <w:color w:val="auto"/>
          <w:sz w:val="28"/>
          <w:szCs w:val="28"/>
          <w:highlight w:val="none"/>
        </w:rPr>
      </w:pPr>
      <w:r>
        <w:rPr>
          <w:rFonts w:hint="eastAsia" w:ascii="仿宋" w:hAnsi="仿宋" w:eastAsia="仿宋" w:cs="仿宋"/>
          <w:b/>
          <w:bCs/>
          <w:color w:val="auto"/>
          <w:kern w:val="0"/>
          <w:sz w:val="28"/>
          <w:szCs w:val="28"/>
          <w:highlight w:val="none"/>
        </w:rPr>
        <w:t>九、合同</w:t>
      </w:r>
      <w:r>
        <w:rPr>
          <w:rFonts w:hint="eastAsia" w:ascii="仿宋" w:hAnsi="仿宋" w:eastAsia="仿宋" w:cs="仿宋"/>
          <w:b/>
          <w:color w:val="auto"/>
          <w:sz w:val="28"/>
          <w:szCs w:val="28"/>
          <w:highlight w:val="none"/>
        </w:rPr>
        <w:t>的生效、变更与解除</w:t>
      </w:r>
    </w:p>
    <w:p w14:paraId="3A74E960">
      <w:pPr>
        <w:autoSpaceDE w:val="0"/>
        <w:autoSpaceDN w:val="0"/>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9.1本合同由甲乙双方法定代表人或其授权代理人签字或盖</w:t>
      </w:r>
      <w:bookmarkStart w:id="0" w:name="OLE_LINK2"/>
      <w:bookmarkStart w:id="1" w:name="OLE_LINK1"/>
      <w:r>
        <w:rPr>
          <w:rFonts w:hint="eastAsia" w:ascii="仿宋" w:hAnsi="仿宋" w:eastAsia="仿宋" w:cs="仿宋"/>
          <w:color w:val="auto"/>
          <w:kern w:val="0"/>
          <w:sz w:val="24"/>
          <w:highlight w:val="none"/>
        </w:rPr>
        <w:t>法人</w:t>
      </w:r>
      <w:bookmarkEnd w:id="0"/>
      <w:bookmarkEnd w:id="1"/>
      <w:r>
        <w:rPr>
          <w:rFonts w:hint="eastAsia" w:ascii="仿宋" w:hAnsi="仿宋" w:eastAsia="仿宋" w:cs="仿宋"/>
          <w:color w:val="auto"/>
          <w:kern w:val="0"/>
          <w:sz w:val="24"/>
          <w:highlight w:val="none"/>
        </w:rPr>
        <w:t>章，并盖公章或合同专用章后生效，至双方履行完合同规定的全部义务后自动终止。</w:t>
      </w:r>
    </w:p>
    <w:p w14:paraId="1C843973">
      <w:pPr>
        <w:autoSpaceDE w:val="0"/>
        <w:autoSpaceDN w:val="0"/>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9.2因自然灾害以及国家计划或政策调整等不可抗拒的原因，使合同无法履行时，经双方协商一致可变更或解除本合同。</w:t>
      </w:r>
    </w:p>
    <w:p w14:paraId="59EB29BD">
      <w:pPr>
        <w:autoSpaceDE w:val="0"/>
        <w:autoSpaceDN w:val="0"/>
        <w:adjustRightInd w:val="0"/>
        <w:snapToGrid w:val="0"/>
        <w:spacing w:line="576"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9.3</w:t>
      </w:r>
      <w:bookmarkStart w:id="2" w:name="OLE_LINK5"/>
      <w:r>
        <w:rPr>
          <w:rFonts w:hint="eastAsia" w:ascii="仿宋" w:hAnsi="仿宋" w:eastAsia="仿宋" w:cs="仿宋"/>
          <w:color w:val="auto"/>
          <w:kern w:val="0"/>
          <w:sz w:val="24"/>
          <w:highlight w:val="none"/>
        </w:rPr>
        <w:t>任何一方无正当理由</w:t>
      </w:r>
      <w:bookmarkEnd w:id="2"/>
      <w:r>
        <w:rPr>
          <w:rFonts w:hint="eastAsia" w:ascii="仿宋" w:hAnsi="仿宋" w:eastAsia="仿宋" w:cs="仿宋"/>
          <w:color w:val="auto"/>
          <w:kern w:val="0"/>
          <w:sz w:val="24"/>
          <w:highlight w:val="none"/>
        </w:rPr>
        <w:t>不履行本合同的约定，另一方有权解除合同，并保留索赔权。</w:t>
      </w:r>
    </w:p>
    <w:p w14:paraId="65F3D138">
      <w:pPr>
        <w:widowControl/>
        <w:tabs>
          <w:tab w:val="left" w:pos="3780"/>
        </w:tabs>
        <w:adjustRightInd w:val="0"/>
        <w:snapToGrid w:val="0"/>
        <w:spacing w:line="576" w:lineRule="exact"/>
        <w:ind w:firstLine="562" w:firstLineChars="200"/>
        <w:jc w:val="left"/>
        <w:rPr>
          <w:rFonts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十、其它</w:t>
      </w:r>
    </w:p>
    <w:p w14:paraId="07C9462C">
      <w:pPr>
        <w:widowControl/>
        <w:adjustRightInd w:val="0"/>
        <w:snapToGrid w:val="0"/>
        <w:spacing w:line="576"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8.1本合同一式</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份，甲方执肆份，乙方执</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份，具有同等法律效力。</w:t>
      </w:r>
    </w:p>
    <w:p w14:paraId="447C5ECB">
      <w:pPr>
        <w:widowControl/>
        <w:adjustRightInd w:val="0"/>
        <w:snapToGrid w:val="0"/>
        <w:spacing w:line="576"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8.2本合同未尽事宜，经双方协商一致，可签订补充协议。</w:t>
      </w:r>
    </w:p>
    <w:p w14:paraId="76FA4FCC">
      <w:pPr>
        <w:widowControl/>
        <w:adjustRightInd w:val="0"/>
        <w:snapToGrid w:val="0"/>
        <w:spacing w:line="576"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附件：检测费用计算表</w:t>
      </w:r>
    </w:p>
    <w:p w14:paraId="2AC33065">
      <w:pPr>
        <w:widowControl/>
        <w:adjustRightInd w:val="0"/>
        <w:snapToGrid w:val="0"/>
        <w:spacing w:line="576" w:lineRule="exact"/>
        <w:jc w:val="left"/>
        <w:rPr>
          <w:rFonts w:ascii="仿宋" w:hAnsi="仿宋" w:eastAsia="仿宋" w:cs="仿宋"/>
          <w:bCs/>
          <w:color w:val="auto"/>
          <w:kern w:val="0"/>
          <w:sz w:val="24"/>
          <w:highlight w:val="none"/>
        </w:rPr>
      </w:pPr>
      <w:r>
        <w:rPr>
          <w:rFonts w:hint="eastAsia" w:ascii="仿宋" w:hAnsi="仿宋" w:eastAsia="仿宋" w:cs="仿宋"/>
          <w:bCs/>
          <w:color w:val="auto"/>
          <w:kern w:val="0"/>
          <w:sz w:val="24"/>
          <w:highlight w:val="none"/>
        </w:rPr>
        <w:t>甲方：西安市公路工程管理处         乙方：</w:t>
      </w:r>
    </w:p>
    <w:p w14:paraId="4E58814A">
      <w:pPr>
        <w:widowControl/>
        <w:adjustRightInd w:val="0"/>
        <w:snapToGrid w:val="0"/>
        <w:spacing w:line="576" w:lineRule="exact"/>
        <w:ind w:firstLine="2280" w:firstLineChars="950"/>
        <w:jc w:val="left"/>
        <w:rPr>
          <w:rFonts w:ascii="仿宋" w:hAnsi="仿宋" w:eastAsia="仿宋" w:cs="仿宋"/>
          <w:bCs/>
          <w:color w:val="auto"/>
          <w:kern w:val="0"/>
          <w:sz w:val="24"/>
          <w:highlight w:val="none"/>
        </w:rPr>
      </w:pPr>
      <w:r>
        <w:rPr>
          <w:rFonts w:hint="eastAsia" w:ascii="仿宋" w:hAnsi="仿宋" w:eastAsia="仿宋" w:cs="仿宋"/>
          <w:bCs/>
          <w:color w:val="auto"/>
          <w:kern w:val="0"/>
          <w:sz w:val="24"/>
          <w:highlight w:val="none"/>
        </w:rPr>
        <w:t>（盖章）                       （盖章）</w:t>
      </w:r>
    </w:p>
    <w:p w14:paraId="32C40A1D">
      <w:pPr>
        <w:widowControl/>
        <w:adjustRightInd w:val="0"/>
        <w:snapToGrid w:val="0"/>
        <w:spacing w:line="576" w:lineRule="exact"/>
        <w:jc w:val="left"/>
        <w:rPr>
          <w:rFonts w:ascii="仿宋" w:hAnsi="仿宋" w:eastAsia="仿宋" w:cs="仿宋"/>
          <w:bCs/>
          <w:color w:val="auto"/>
          <w:kern w:val="0"/>
          <w:sz w:val="24"/>
          <w:highlight w:val="none"/>
        </w:rPr>
      </w:pPr>
      <w:r>
        <w:rPr>
          <w:rFonts w:hint="eastAsia" w:ascii="仿宋" w:hAnsi="仿宋" w:eastAsia="仿宋" w:cs="仿宋"/>
          <w:bCs/>
          <w:color w:val="auto"/>
          <w:kern w:val="0"/>
          <w:sz w:val="24"/>
          <w:highlight w:val="none"/>
        </w:rPr>
        <w:t>法定代表人                         法定代表人</w:t>
      </w:r>
    </w:p>
    <w:p w14:paraId="0BFDD07D">
      <w:pPr>
        <w:widowControl/>
        <w:adjustRightInd w:val="0"/>
        <w:snapToGrid w:val="0"/>
        <w:spacing w:line="576" w:lineRule="exact"/>
        <w:jc w:val="left"/>
        <w:rPr>
          <w:rFonts w:ascii="仿宋" w:hAnsi="仿宋" w:eastAsia="仿宋" w:cs="仿宋"/>
          <w:bCs/>
          <w:color w:val="auto"/>
          <w:kern w:val="0"/>
          <w:sz w:val="24"/>
          <w:highlight w:val="none"/>
        </w:rPr>
      </w:pPr>
      <w:r>
        <w:rPr>
          <w:rFonts w:hint="eastAsia" w:ascii="仿宋" w:hAnsi="仿宋" w:eastAsia="仿宋" w:cs="仿宋"/>
          <w:bCs/>
          <w:color w:val="auto"/>
          <w:kern w:val="0"/>
          <w:sz w:val="24"/>
          <w:highlight w:val="none"/>
        </w:rPr>
        <w:t xml:space="preserve">或委托代理人：                     或委托代理人：                    </w:t>
      </w:r>
    </w:p>
    <w:p w14:paraId="1742EA48">
      <w:pPr>
        <w:widowControl/>
        <w:adjustRightInd w:val="0"/>
        <w:snapToGrid w:val="0"/>
        <w:spacing w:line="576" w:lineRule="exact"/>
        <w:jc w:val="left"/>
        <w:rPr>
          <w:rFonts w:ascii="仿宋" w:hAnsi="仿宋" w:eastAsia="仿宋" w:cs="仿宋"/>
          <w:bCs/>
          <w:color w:val="auto"/>
          <w:kern w:val="0"/>
          <w:sz w:val="24"/>
          <w:highlight w:val="none"/>
        </w:rPr>
      </w:pPr>
      <w:r>
        <w:rPr>
          <w:rFonts w:hint="eastAsia" w:ascii="仿宋" w:hAnsi="仿宋" w:eastAsia="仿宋" w:cs="仿宋"/>
          <w:bCs/>
          <w:color w:val="auto"/>
          <w:kern w:val="0"/>
          <w:sz w:val="24"/>
          <w:highlight w:val="none"/>
        </w:rPr>
        <w:t>联系人：                           联系人：</w:t>
      </w:r>
    </w:p>
    <w:p w14:paraId="26195348">
      <w:pPr>
        <w:widowControl/>
        <w:adjustRightInd w:val="0"/>
        <w:snapToGrid w:val="0"/>
        <w:spacing w:line="576" w:lineRule="exact"/>
        <w:jc w:val="left"/>
        <w:rPr>
          <w:rFonts w:ascii="仿宋" w:hAnsi="仿宋" w:eastAsia="仿宋" w:cs="仿宋"/>
          <w:bCs/>
          <w:color w:val="auto"/>
          <w:kern w:val="0"/>
          <w:sz w:val="24"/>
          <w:highlight w:val="none"/>
        </w:rPr>
      </w:pPr>
      <w:r>
        <w:rPr>
          <w:rFonts w:hint="eastAsia" w:ascii="仿宋" w:hAnsi="仿宋" w:eastAsia="仿宋" w:cs="仿宋"/>
          <w:bCs/>
          <w:color w:val="auto"/>
          <w:kern w:val="0"/>
          <w:sz w:val="24"/>
          <w:highlight w:val="none"/>
        </w:rPr>
        <w:t>联系电话：                         联系电话：</w:t>
      </w:r>
    </w:p>
    <w:p w14:paraId="405EDFD6">
      <w:pPr>
        <w:widowControl/>
        <w:adjustRightInd w:val="0"/>
        <w:snapToGrid w:val="0"/>
        <w:spacing w:line="576" w:lineRule="exact"/>
        <w:ind w:firstLine="3360" w:firstLineChars="1400"/>
        <w:jc w:val="left"/>
        <w:rPr>
          <w:rFonts w:ascii="仿宋" w:hAnsi="仿宋" w:eastAsia="仿宋" w:cs="仿宋"/>
          <w:bCs/>
          <w:color w:val="auto"/>
          <w:kern w:val="0"/>
          <w:sz w:val="24"/>
          <w:highlight w:val="none"/>
        </w:rPr>
      </w:pPr>
      <w:r>
        <w:rPr>
          <w:rFonts w:hint="eastAsia" w:ascii="仿宋" w:hAnsi="仿宋" w:eastAsia="仿宋" w:cs="仿宋"/>
          <w:bCs/>
          <w:color w:val="auto"/>
          <w:kern w:val="0"/>
          <w:sz w:val="24"/>
          <w:highlight w:val="none"/>
        </w:rPr>
        <w:t>签订时间：     年    月   日</w:t>
      </w:r>
    </w:p>
    <w:p w14:paraId="3585C10B">
      <w:pPr>
        <w:widowControl/>
        <w:adjustRightInd w:val="0"/>
        <w:snapToGrid w:val="0"/>
        <w:spacing w:line="576"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br w:type="page"/>
      </w:r>
    </w:p>
    <w:p w14:paraId="61931440">
      <w:pPr>
        <w:widowControl/>
        <w:adjustRightInd w:val="0"/>
        <w:snapToGrid w:val="0"/>
        <w:spacing w:after="200"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附件：</w:t>
      </w:r>
    </w:p>
    <w:p w14:paraId="0E1F6FF8">
      <w:pPr>
        <w:widowControl/>
        <w:adjustRightInd w:val="0"/>
        <w:snapToGrid w:val="0"/>
        <w:spacing w:after="200"/>
        <w:jc w:val="center"/>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S107环山旅游公路周鄠界至马召段改造提升工程</w:t>
      </w:r>
    </w:p>
    <w:p w14:paraId="344AA676">
      <w:pPr>
        <w:widowControl/>
        <w:adjustRightInd w:val="0"/>
        <w:snapToGrid w:val="0"/>
        <w:spacing w:after="200"/>
        <w:jc w:val="center"/>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竣（交）工验收质量检测费用计算表</w:t>
      </w:r>
    </w:p>
    <w:tbl>
      <w:tblPr>
        <w:tblStyle w:val="4"/>
        <w:tblW w:w="9177" w:type="dxa"/>
        <w:jc w:val="center"/>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689"/>
        <w:gridCol w:w="1128"/>
        <w:gridCol w:w="1226"/>
        <w:gridCol w:w="1767"/>
        <w:gridCol w:w="1777"/>
        <w:gridCol w:w="1590"/>
      </w:tblGrid>
      <w:tr w14:paraId="5D531CF6">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511" w:hRule="atLeast"/>
          <w:jc w:val="center"/>
        </w:trPr>
        <w:tc>
          <w:tcPr>
            <w:tcW w:w="1689" w:type="dxa"/>
            <w:vMerge w:val="restart"/>
            <w:noWrap/>
            <w:vAlign w:val="center"/>
          </w:tcPr>
          <w:p w14:paraId="325907A8">
            <w:pPr>
              <w:spacing w:line="360" w:lineRule="auto"/>
              <w:ind w:firstLine="480" w:firstLineChars="200"/>
              <w:jc w:val="center"/>
              <w:rPr>
                <w:rFonts w:ascii="仿宋" w:hAnsi="仿宋" w:eastAsia="仿宋" w:cs="仿宋"/>
                <w:color w:val="auto"/>
                <w:sz w:val="24"/>
                <w:highlight w:val="none"/>
              </w:rPr>
            </w:pPr>
            <w:r>
              <w:rPr>
                <w:rFonts w:hint="eastAsia" w:ascii="仿宋" w:hAnsi="仿宋" w:eastAsia="仿宋" w:cs="仿宋"/>
                <w:color w:val="auto"/>
                <w:sz w:val="24"/>
                <w:highlight w:val="none"/>
              </w:rPr>
              <w:t>项目</w:t>
            </w:r>
          </w:p>
        </w:tc>
        <w:tc>
          <w:tcPr>
            <w:tcW w:w="1128" w:type="dxa"/>
            <w:vMerge w:val="restart"/>
            <w:noWrap/>
            <w:vAlign w:val="center"/>
          </w:tcPr>
          <w:p w14:paraId="1346C732">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单位</w:t>
            </w:r>
          </w:p>
        </w:tc>
        <w:tc>
          <w:tcPr>
            <w:tcW w:w="1226" w:type="dxa"/>
            <w:vMerge w:val="restart"/>
            <w:noWrap/>
            <w:vAlign w:val="center"/>
          </w:tcPr>
          <w:p w14:paraId="07453B08">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计价数量</w:t>
            </w:r>
          </w:p>
        </w:tc>
        <w:tc>
          <w:tcPr>
            <w:tcW w:w="3544" w:type="dxa"/>
            <w:gridSpan w:val="2"/>
            <w:tcBorders>
              <w:bottom w:val="single" w:color="auto" w:sz="4" w:space="0"/>
            </w:tcBorders>
            <w:noWrap/>
            <w:vAlign w:val="center"/>
          </w:tcPr>
          <w:p w14:paraId="13D5CED8">
            <w:pPr>
              <w:spacing w:line="360" w:lineRule="auto"/>
              <w:ind w:firstLine="480" w:firstLineChars="200"/>
              <w:jc w:val="center"/>
              <w:rPr>
                <w:rFonts w:ascii="仿宋" w:hAnsi="仿宋" w:eastAsia="仿宋" w:cs="仿宋"/>
                <w:color w:val="auto"/>
                <w:sz w:val="24"/>
                <w:highlight w:val="none"/>
              </w:rPr>
            </w:pPr>
            <w:r>
              <w:rPr>
                <w:rFonts w:hint="eastAsia" w:ascii="仿宋" w:hAnsi="仿宋" w:eastAsia="仿宋" w:cs="仿宋"/>
                <w:color w:val="auto"/>
                <w:sz w:val="24"/>
                <w:highlight w:val="none"/>
              </w:rPr>
              <w:t>竣（交）工</w:t>
            </w:r>
          </w:p>
        </w:tc>
        <w:tc>
          <w:tcPr>
            <w:tcW w:w="1590" w:type="dxa"/>
            <w:vMerge w:val="restart"/>
            <w:noWrap/>
            <w:vAlign w:val="center"/>
          </w:tcPr>
          <w:p w14:paraId="332E1842">
            <w:pPr>
              <w:spacing w:line="360" w:lineRule="auto"/>
              <w:ind w:firstLine="480" w:firstLineChars="200"/>
              <w:jc w:val="center"/>
              <w:rPr>
                <w:rFonts w:ascii="仿宋" w:hAnsi="仿宋" w:eastAsia="仿宋" w:cs="仿宋"/>
                <w:color w:val="auto"/>
                <w:sz w:val="24"/>
                <w:highlight w:val="none"/>
              </w:rPr>
            </w:pPr>
            <w:r>
              <w:rPr>
                <w:rFonts w:hint="eastAsia" w:ascii="仿宋" w:hAnsi="仿宋" w:eastAsia="仿宋" w:cs="仿宋"/>
                <w:color w:val="auto"/>
                <w:sz w:val="24"/>
                <w:highlight w:val="none"/>
              </w:rPr>
              <w:t>备注</w:t>
            </w:r>
          </w:p>
        </w:tc>
      </w:tr>
      <w:tr w14:paraId="7138A2A7">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558" w:hRule="atLeast"/>
          <w:jc w:val="center"/>
        </w:trPr>
        <w:tc>
          <w:tcPr>
            <w:tcW w:w="1689" w:type="dxa"/>
            <w:vMerge w:val="continue"/>
            <w:noWrap/>
            <w:vAlign w:val="center"/>
          </w:tcPr>
          <w:p w14:paraId="65FAE9C6">
            <w:pPr>
              <w:spacing w:line="360" w:lineRule="auto"/>
              <w:ind w:firstLine="480" w:firstLineChars="200"/>
              <w:jc w:val="center"/>
              <w:rPr>
                <w:rFonts w:ascii="仿宋" w:hAnsi="仿宋" w:eastAsia="仿宋" w:cs="仿宋"/>
                <w:color w:val="auto"/>
                <w:sz w:val="24"/>
                <w:highlight w:val="none"/>
              </w:rPr>
            </w:pPr>
          </w:p>
        </w:tc>
        <w:tc>
          <w:tcPr>
            <w:tcW w:w="1128" w:type="dxa"/>
            <w:vMerge w:val="continue"/>
            <w:noWrap/>
            <w:vAlign w:val="center"/>
          </w:tcPr>
          <w:p w14:paraId="56C510A0">
            <w:pPr>
              <w:spacing w:line="360" w:lineRule="auto"/>
              <w:ind w:firstLine="480" w:firstLineChars="200"/>
              <w:jc w:val="center"/>
              <w:rPr>
                <w:rFonts w:ascii="仿宋" w:hAnsi="仿宋" w:eastAsia="仿宋" w:cs="仿宋"/>
                <w:color w:val="auto"/>
                <w:sz w:val="24"/>
                <w:highlight w:val="none"/>
              </w:rPr>
            </w:pPr>
          </w:p>
        </w:tc>
        <w:tc>
          <w:tcPr>
            <w:tcW w:w="1226" w:type="dxa"/>
            <w:vMerge w:val="continue"/>
            <w:noWrap/>
            <w:vAlign w:val="center"/>
          </w:tcPr>
          <w:p w14:paraId="3B42405F">
            <w:pPr>
              <w:spacing w:line="360" w:lineRule="auto"/>
              <w:ind w:firstLine="480" w:firstLineChars="200"/>
              <w:jc w:val="center"/>
              <w:rPr>
                <w:rFonts w:ascii="仿宋" w:hAnsi="仿宋" w:eastAsia="仿宋" w:cs="仿宋"/>
                <w:color w:val="auto"/>
                <w:sz w:val="24"/>
                <w:highlight w:val="none"/>
              </w:rPr>
            </w:pPr>
          </w:p>
        </w:tc>
        <w:tc>
          <w:tcPr>
            <w:tcW w:w="1767" w:type="dxa"/>
            <w:tcBorders>
              <w:top w:val="single" w:color="auto" w:sz="4" w:space="0"/>
            </w:tcBorders>
            <w:noWrap/>
            <w:vAlign w:val="center"/>
          </w:tcPr>
          <w:p w14:paraId="1E066FC3">
            <w:pPr>
              <w:spacing w:line="360" w:lineRule="auto"/>
              <w:ind w:firstLine="480" w:firstLineChars="200"/>
              <w:jc w:val="center"/>
              <w:rPr>
                <w:rFonts w:ascii="仿宋" w:hAnsi="仿宋" w:eastAsia="仿宋" w:cs="仿宋"/>
                <w:color w:val="auto"/>
                <w:sz w:val="24"/>
                <w:highlight w:val="none"/>
              </w:rPr>
            </w:pPr>
            <w:r>
              <w:rPr>
                <w:rFonts w:hint="eastAsia" w:ascii="仿宋" w:hAnsi="仿宋" w:eastAsia="仿宋" w:cs="仿宋"/>
                <w:color w:val="auto"/>
                <w:sz w:val="24"/>
                <w:highlight w:val="none"/>
              </w:rPr>
              <w:t>单价(元</w:t>
            </w:r>
            <w:r>
              <w:rPr>
                <w:rFonts w:ascii="仿宋" w:hAnsi="仿宋" w:eastAsia="仿宋" w:cs="仿宋"/>
                <w:color w:val="auto"/>
                <w:sz w:val="24"/>
                <w:highlight w:val="none"/>
              </w:rPr>
              <w:t>）</w:t>
            </w:r>
          </w:p>
        </w:tc>
        <w:tc>
          <w:tcPr>
            <w:tcW w:w="1777" w:type="dxa"/>
            <w:tcBorders>
              <w:top w:val="single" w:color="auto" w:sz="4" w:space="0"/>
            </w:tcBorders>
            <w:noWrap/>
            <w:vAlign w:val="center"/>
          </w:tcPr>
          <w:p w14:paraId="1E97FE9A">
            <w:pPr>
              <w:spacing w:line="360" w:lineRule="auto"/>
              <w:ind w:firstLine="480" w:firstLineChars="200"/>
              <w:jc w:val="center"/>
              <w:rPr>
                <w:rFonts w:ascii="仿宋" w:hAnsi="仿宋" w:eastAsia="仿宋" w:cs="仿宋"/>
                <w:color w:val="auto"/>
                <w:sz w:val="24"/>
                <w:highlight w:val="none"/>
              </w:rPr>
            </w:pPr>
            <w:r>
              <w:rPr>
                <w:rFonts w:hint="eastAsia" w:ascii="仿宋" w:hAnsi="仿宋" w:eastAsia="仿宋" w:cs="仿宋"/>
                <w:color w:val="auto"/>
                <w:sz w:val="24"/>
                <w:highlight w:val="none"/>
              </w:rPr>
              <w:t>费用(元</w:t>
            </w:r>
            <w:r>
              <w:rPr>
                <w:rFonts w:ascii="仿宋" w:hAnsi="仿宋" w:eastAsia="仿宋" w:cs="仿宋"/>
                <w:color w:val="auto"/>
                <w:sz w:val="24"/>
                <w:highlight w:val="none"/>
              </w:rPr>
              <w:t>）</w:t>
            </w:r>
          </w:p>
        </w:tc>
        <w:tc>
          <w:tcPr>
            <w:tcW w:w="1590" w:type="dxa"/>
            <w:vMerge w:val="continue"/>
            <w:shd w:val="clear" w:color="auto" w:fill="auto"/>
            <w:noWrap/>
            <w:vAlign w:val="center"/>
          </w:tcPr>
          <w:p w14:paraId="7DAE0219">
            <w:pPr>
              <w:spacing w:line="360" w:lineRule="auto"/>
              <w:ind w:firstLine="480" w:firstLineChars="200"/>
              <w:jc w:val="center"/>
              <w:rPr>
                <w:rFonts w:ascii="仿宋" w:hAnsi="仿宋" w:eastAsia="仿宋" w:cs="仿宋"/>
                <w:color w:val="auto"/>
                <w:sz w:val="24"/>
                <w:highlight w:val="none"/>
              </w:rPr>
            </w:pPr>
          </w:p>
        </w:tc>
      </w:tr>
      <w:tr w14:paraId="69836D39">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794" w:hRule="atLeast"/>
          <w:jc w:val="center"/>
        </w:trPr>
        <w:tc>
          <w:tcPr>
            <w:tcW w:w="1689" w:type="dxa"/>
            <w:tcBorders>
              <w:top w:val="single" w:color="auto" w:sz="4" w:space="0"/>
            </w:tcBorders>
            <w:noWrap/>
            <w:vAlign w:val="center"/>
          </w:tcPr>
          <w:p w14:paraId="642D184E">
            <w:pPr>
              <w:spacing w:line="360" w:lineRule="auto"/>
              <w:ind w:firstLine="480" w:firstLineChars="200"/>
              <w:jc w:val="center"/>
              <w:rPr>
                <w:rFonts w:ascii="仿宋" w:hAnsi="仿宋" w:eastAsia="仿宋" w:cs="仿宋"/>
                <w:color w:val="auto"/>
                <w:sz w:val="24"/>
                <w:highlight w:val="none"/>
              </w:rPr>
            </w:pPr>
            <w:r>
              <w:rPr>
                <w:rFonts w:hint="eastAsia" w:ascii="仿宋" w:hAnsi="仿宋" w:eastAsia="仿宋" w:cs="仿宋"/>
                <w:color w:val="auto"/>
                <w:sz w:val="24"/>
                <w:highlight w:val="none"/>
              </w:rPr>
              <w:t>路线工程</w:t>
            </w:r>
          </w:p>
        </w:tc>
        <w:tc>
          <w:tcPr>
            <w:tcW w:w="1128" w:type="dxa"/>
            <w:tcBorders>
              <w:top w:val="single" w:color="auto" w:sz="4" w:space="0"/>
              <w:bottom w:val="single" w:color="auto" w:sz="4" w:space="0"/>
            </w:tcBorders>
            <w:noWrap/>
            <w:vAlign w:val="center"/>
          </w:tcPr>
          <w:p w14:paraId="24D0172F">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公里</w:t>
            </w:r>
          </w:p>
        </w:tc>
        <w:tc>
          <w:tcPr>
            <w:tcW w:w="1226" w:type="dxa"/>
            <w:tcBorders>
              <w:bottom w:val="single" w:color="auto" w:sz="4" w:space="0"/>
            </w:tcBorders>
            <w:noWrap/>
            <w:vAlign w:val="center"/>
          </w:tcPr>
          <w:p w14:paraId="0ED386B6">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24.924</w:t>
            </w:r>
          </w:p>
        </w:tc>
        <w:tc>
          <w:tcPr>
            <w:tcW w:w="1767" w:type="dxa"/>
            <w:tcBorders>
              <w:bottom w:val="single" w:color="auto" w:sz="4" w:space="0"/>
            </w:tcBorders>
            <w:noWrap/>
            <w:vAlign w:val="center"/>
          </w:tcPr>
          <w:p w14:paraId="664F35AA">
            <w:pPr>
              <w:spacing w:line="360" w:lineRule="auto"/>
              <w:ind w:firstLine="480" w:firstLineChars="200"/>
              <w:jc w:val="center"/>
              <w:rPr>
                <w:rFonts w:ascii="仿宋" w:hAnsi="仿宋" w:eastAsia="仿宋" w:cs="仿宋"/>
                <w:color w:val="auto"/>
                <w:sz w:val="24"/>
                <w:highlight w:val="none"/>
              </w:rPr>
            </w:pPr>
          </w:p>
        </w:tc>
        <w:tc>
          <w:tcPr>
            <w:tcW w:w="1777" w:type="dxa"/>
            <w:tcBorders>
              <w:bottom w:val="single" w:color="auto" w:sz="4" w:space="0"/>
            </w:tcBorders>
            <w:noWrap/>
            <w:vAlign w:val="center"/>
          </w:tcPr>
          <w:p w14:paraId="038DCBA7">
            <w:pPr>
              <w:spacing w:line="360" w:lineRule="auto"/>
              <w:ind w:firstLine="480" w:firstLineChars="200"/>
              <w:jc w:val="center"/>
              <w:rPr>
                <w:rFonts w:ascii="仿宋" w:hAnsi="仿宋" w:eastAsia="仿宋" w:cs="仿宋"/>
                <w:color w:val="auto"/>
                <w:sz w:val="24"/>
                <w:highlight w:val="none"/>
              </w:rPr>
            </w:pPr>
          </w:p>
        </w:tc>
        <w:tc>
          <w:tcPr>
            <w:tcW w:w="1590" w:type="dxa"/>
            <w:noWrap/>
            <w:vAlign w:val="center"/>
          </w:tcPr>
          <w:p w14:paraId="26B42B90">
            <w:pPr>
              <w:spacing w:line="360" w:lineRule="auto"/>
              <w:ind w:firstLine="480" w:firstLineChars="200"/>
              <w:jc w:val="center"/>
              <w:rPr>
                <w:rFonts w:ascii="仿宋" w:hAnsi="仿宋" w:eastAsia="仿宋" w:cs="仿宋"/>
                <w:color w:val="auto"/>
                <w:sz w:val="24"/>
                <w:highlight w:val="none"/>
              </w:rPr>
            </w:pPr>
          </w:p>
        </w:tc>
      </w:tr>
      <w:tr w14:paraId="25D5D54E">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794" w:hRule="atLeast"/>
          <w:jc w:val="center"/>
        </w:trPr>
        <w:tc>
          <w:tcPr>
            <w:tcW w:w="1689" w:type="dxa"/>
            <w:tcBorders>
              <w:top w:val="single" w:color="auto" w:sz="4" w:space="0"/>
            </w:tcBorders>
            <w:noWrap/>
            <w:vAlign w:val="center"/>
          </w:tcPr>
          <w:p w14:paraId="25B4EB7C">
            <w:pPr>
              <w:spacing w:line="360" w:lineRule="auto"/>
              <w:ind w:firstLine="480" w:firstLineChars="200"/>
              <w:jc w:val="center"/>
              <w:rPr>
                <w:rFonts w:ascii="仿宋" w:hAnsi="仿宋" w:eastAsia="仿宋" w:cs="仿宋"/>
                <w:color w:val="auto"/>
                <w:sz w:val="24"/>
                <w:highlight w:val="none"/>
              </w:rPr>
            </w:pPr>
            <w:r>
              <w:rPr>
                <w:rFonts w:hint="eastAsia" w:ascii="仿宋" w:hAnsi="仿宋" w:eastAsia="仿宋" w:cs="仿宋"/>
                <w:color w:val="auto"/>
                <w:sz w:val="24"/>
                <w:highlight w:val="none"/>
              </w:rPr>
              <w:t>桥梁工程</w:t>
            </w:r>
          </w:p>
        </w:tc>
        <w:tc>
          <w:tcPr>
            <w:tcW w:w="1128" w:type="dxa"/>
            <w:noWrap/>
            <w:vAlign w:val="center"/>
          </w:tcPr>
          <w:p w14:paraId="43CFBD5C">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米</w:t>
            </w:r>
          </w:p>
        </w:tc>
        <w:tc>
          <w:tcPr>
            <w:tcW w:w="1226" w:type="dxa"/>
            <w:noWrap/>
            <w:vAlign w:val="center"/>
          </w:tcPr>
          <w:p w14:paraId="1EED7EE5">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1434.4</w:t>
            </w:r>
          </w:p>
        </w:tc>
        <w:tc>
          <w:tcPr>
            <w:tcW w:w="1767" w:type="dxa"/>
            <w:noWrap/>
            <w:vAlign w:val="center"/>
          </w:tcPr>
          <w:p w14:paraId="0996DA16">
            <w:pPr>
              <w:spacing w:line="360" w:lineRule="auto"/>
              <w:ind w:firstLine="480" w:firstLineChars="200"/>
              <w:jc w:val="center"/>
              <w:rPr>
                <w:rFonts w:ascii="仿宋" w:hAnsi="仿宋" w:eastAsia="仿宋" w:cs="仿宋"/>
                <w:color w:val="auto"/>
                <w:sz w:val="24"/>
                <w:highlight w:val="none"/>
              </w:rPr>
            </w:pPr>
          </w:p>
        </w:tc>
        <w:tc>
          <w:tcPr>
            <w:tcW w:w="1777" w:type="dxa"/>
            <w:noWrap/>
            <w:vAlign w:val="center"/>
          </w:tcPr>
          <w:p w14:paraId="00F638CB">
            <w:pPr>
              <w:spacing w:line="360" w:lineRule="auto"/>
              <w:ind w:firstLine="480" w:firstLineChars="200"/>
              <w:jc w:val="center"/>
              <w:rPr>
                <w:rFonts w:ascii="仿宋" w:hAnsi="仿宋" w:eastAsia="仿宋" w:cs="仿宋"/>
                <w:color w:val="auto"/>
                <w:sz w:val="24"/>
                <w:highlight w:val="none"/>
              </w:rPr>
            </w:pPr>
          </w:p>
        </w:tc>
        <w:tc>
          <w:tcPr>
            <w:tcW w:w="1590" w:type="dxa"/>
            <w:noWrap/>
            <w:vAlign w:val="center"/>
          </w:tcPr>
          <w:p w14:paraId="68384298">
            <w:pPr>
              <w:spacing w:line="360" w:lineRule="auto"/>
              <w:ind w:firstLine="480" w:firstLineChars="200"/>
              <w:jc w:val="center"/>
              <w:rPr>
                <w:rFonts w:ascii="仿宋" w:hAnsi="仿宋" w:eastAsia="仿宋" w:cs="仿宋"/>
                <w:color w:val="auto"/>
                <w:sz w:val="24"/>
                <w:highlight w:val="none"/>
              </w:rPr>
            </w:pPr>
          </w:p>
        </w:tc>
      </w:tr>
      <w:tr w14:paraId="406744BE">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794" w:hRule="atLeast"/>
          <w:jc w:val="center"/>
        </w:trPr>
        <w:tc>
          <w:tcPr>
            <w:tcW w:w="1689" w:type="dxa"/>
            <w:noWrap/>
            <w:vAlign w:val="center"/>
          </w:tcPr>
          <w:p w14:paraId="706B21FD">
            <w:pPr>
              <w:spacing w:line="360" w:lineRule="auto"/>
              <w:ind w:firstLine="480" w:firstLineChars="200"/>
              <w:jc w:val="center"/>
              <w:rPr>
                <w:rFonts w:ascii="仿宋" w:hAnsi="仿宋" w:eastAsia="仿宋" w:cs="仿宋"/>
                <w:color w:val="auto"/>
                <w:sz w:val="24"/>
                <w:highlight w:val="none"/>
              </w:rPr>
            </w:pPr>
            <w:r>
              <w:rPr>
                <w:rFonts w:hint="eastAsia" w:ascii="仿宋" w:hAnsi="仿宋" w:eastAsia="仿宋" w:cs="仿宋"/>
                <w:color w:val="auto"/>
                <w:sz w:val="24"/>
                <w:highlight w:val="none"/>
              </w:rPr>
              <w:t>机电工程</w:t>
            </w:r>
          </w:p>
        </w:tc>
        <w:tc>
          <w:tcPr>
            <w:tcW w:w="1128" w:type="dxa"/>
            <w:tcBorders>
              <w:right w:val="single" w:color="auto" w:sz="4" w:space="0"/>
            </w:tcBorders>
            <w:noWrap/>
            <w:vAlign w:val="center"/>
          </w:tcPr>
          <w:p w14:paraId="6CBBF7EC">
            <w:pPr>
              <w:spacing w:line="360" w:lineRule="auto"/>
              <w:jc w:val="cente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项</w:t>
            </w:r>
          </w:p>
        </w:tc>
        <w:tc>
          <w:tcPr>
            <w:tcW w:w="1226" w:type="dxa"/>
            <w:tcBorders>
              <w:left w:val="single" w:color="auto" w:sz="4" w:space="0"/>
            </w:tcBorders>
            <w:noWrap/>
            <w:vAlign w:val="center"/>
          </w:tcPr>
          <w:p w14:paraId="3E8C2384">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lang w:val="en-US" w:eastAsia="zh-CN"/>
              </w:rPr>
              <w:t>1</w:t>
            </w:r>
          </w:p>
        </w:tc>
        <w:tc>
          <w:tcPr>
            <w:tcW w:w="1767" w:type="dxa"/>
            <w:noWrap/>
            <w:vAlign w:val="center"/>
          </w:tcPr>
          <w:p w14:paraId="1F51756D">
            <w:pPr>
              <w:spacing w:line="360" w:lineRule="auto"/>
              <w:ind w:firstLine="480" w:firstLineChars="200"/>
              <w:jc w:val="center"/>
              <w:rPr>
                <w:rFonts w:ascii="仿宋" w:hAnsi="仿宋" w:eastAsia="仿宋" w:cs="仿宋"/>
                <w:color w:val="auto"/>
                <w:sz w:val="24"/>
                <w:highlight w:val="none"/>
              </w:rPr>
            </w:pPr>
          </w:p>
        </w:tc>
        <w:tc>
          <w:tcPr>
            <w:tcW w:w="1777" w:type="dxa"/>
            <w:noWrap/>
            <w:vAlign w:val="center"/>
          </w:tcPr>
          <w:p w14:paraId="19CA3506">
            <w:pPr>
              <w:spacing w:line="360" w:lineRule="auto"/>
              <w:ind w:firstLine="480" w:firstLineChars="200"/>
              <w:jc w:val="center"/>
              <w:rPr>
                <w:rFonts w:ascii="仿宋" w:hAnsi="仿宋" w:eastAsia="仿宋" w:cs="仿宋"/>
                <w:color w:val="auto"/>
                <w:sz w:val="24"/>
                <w:highlight w:val="none"/>
              </w:rPr>
            </w:pPr>
          </w:p>
        </w:tc>
        <w:tc>
          <w:tcPr>
            <w:tcW w:w="1590" w:type="dxa"/>
            <w:noWrap/>
            <w:vAlign w:val="center"/>
          </w:tcPr>
          <w:p w14:paraId="29E563B4">
            <w:pPr>
              <w:spacing w:line="360" w:lineRule="auto"/>
              <w:jc w:val="both"/>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智慧交通、路灯等</w:t>
            </w:r>
          </w:p>
        </w:tc>
      </w:tr>
      <w:tr w14:paraId="6F0D21FE">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794" w:hRule="atLeast"/>
          <w:jc w:val="center"/>
        </w:trPr>
        <w:tc>
          <w:tcPr>
            <w:tcW w:w="1689" w:type="dxa"/>
            <w:noWrap/>
            <w:vAlign w:val="center"/>
          </w:tcPr>
          <w:p w14:paraId="7429BC76">
            <w:pPr>
              <w:spacing w:line="360" w:lineRule="auto"/>
              <w:ind w:firstLine="480" w:firstLineChars="200"/>
              <w:jc w:val="center"/>
              <w:rPr>
                <w:rFonts w:ascii="仿宋" w:hAnsi="仿宋" w:eastAsia="仿宋" w:cs="仿宋"/>
                <w:color w:val="auto"/>
                <w:sz w:val="24"/>
                <w:highlight w:val="none"/>
              </w:rPr>
            </w:pPr>
            <w:r>
              <w:rPr>
                <w:rFonts w:hint="eastAsia" w:ascii="仿宋" w:hAnsi="仿宋" w:eastAsia="仿宋" w:cs="仿宋"/>
                <w:color w:val="auto"/>
                <w:sz w:val="24"/>
                <w:highlight w:val="none"/>
              </w:rPr>
              <w:t>房建工程</w:t>
            </w:r>
          </w:p>
        </w:tc>
        <w:tc>
          <w:tcPr>
            <w:tcW w:w="1128" w:type="dxa"/>
            <w:tcBorders>
              <w:right w:val="single" w:color="auto" w:sz="4" w:space="0"/>
            </w:tcBorders>
            <w:noWrap/>
            <w:vAlign w:val="center"/>
          </w:tcPr>
          <w:p w14:paraId="46D04575">
            <w:pPr>
              <w:spacing w:line="360" w:lineRule="auto"/>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项</w:t>
            </w:r>
          </w:p>
        </w:tc>
        <w:tc>
          <w:tcPr>
            <w:tcW w:w="1226" w:type="dxa"/>
            <w:tcBorders>
              <w:left w:val="single" w:color="auto" w:sz="4" w:space="0"/>
            </w:tcBorders>
            <w:noWrap/>
            <w:vAlign w:val="center"/>
          </w:tcPr>
          <w:p w14:paraId="10B622CF">
            <w:pPr>
              <w:spacing w:line="360" w:lineRule="auto"/>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w:t>
            </w:r>
          </w:p>
        </w:tc>
        <w:tc>
          <w:tcPr>
            <w:tcW w:w="1767" w:type="dxa"/>
            <w:noWrap/>
            <w:vAlign w:val="center"/>
          </w:tcPr>
          <w:p w14:paraId="1687F586">
            <w:pPr>
              <w:spacing w:line="360" w:lineRule="auto"/>
              <w:ind w:firstLine="480" w:firstLineChars="200"/>
              <w:jc w:val="center"/>
              <w:rPr>
                <w:rFonts w:ascii="仿宋" w:hAnsi="仿宋" w:eastAsia="仿宋" w:cs="仿宋"/>
                <w:color w:val="auto"/>
                <w:sz w:val="24"/>
                <w:highlight w:val="none"/>
              </w:rPr>
            </w:pPr>
          </w:p>
        </w:tc>
        <w:tc>
          <w:tcPr>
            <w:tcW w:w="1777" w:type="dxa"/>
            <w:noWrap/>
            <w:vAlign w:val="center"/>
          </w:tcPr>
          <w:p w14:paraId="68D8F5A1">
            <w:pPr>
              <w:spacing w:line="360" w:lineRule="auto"/>
              <w:ind w:firstLine="480" w:firstLineChars="200"/>
              <w:jc w:val="center"/>
              <w:rPr>
                <w:rFonts w:ascii="仿宋" w:hAnsi="仿宋" w:eastAsia="仿宋" w:cs="仿宋"/>
                <w:color w:val="auto"/>
                <w:sz w:val="24"/>
                <w:highlight w:val="none"/>
              </w:rPr>
            </w:pPr>
          </w:p>
        </w:tc>
        <w:tc>
          <w:tcPr>
            <w:tcW w:w="1590" w:type="dxa"/>
            <w:noWrap/>
            <w:vAlign w:val="center"/>
          </w:tcPr>
          <w:p w14:paraId="0A4FC6C4">
            <w:pPr>
              <w:spacing w:line="360" w:lineRule="auto"/>
              <w:jc w:val="both"/>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香山寺服务区、团标养护工区</w:t>
            </w:r>
          </w:p>
        </w:tc>
      </w:tr>
      <w:tr w14:paraId="5B5C3931">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794" w:hRule="atLeast"/>
          <w:jc w:val="center"/>
        </w:trPr>
        <w:tc>
          <w:tcPr>
            <w:tcW w:w="5810" w:type="dxa"/>
            <w:gridSpan w:val="4"/>
            <w:noWrap/>
            <w:vAlign w:val="center"/>
          </w:tcPr>
          <w:p w14:paraId="0383393F">
            <w:pPr>
              <w:spacing w:line="360" w:lineRule="auto"/>
              <w:ind w:firstLine="480" w:firstLineChars="200"/>
              <w:jc w:val="center"/>
              <w:rPr>
                <w:rFonts w:ascii="仿宋" w:hAnsi="仿宋" w:eastAsia="仿宋" w:cs="仿宋"/>
                <w:color w:val="auto"/>
                <w:sz w:val="24"/>
                <w:highlight w:val="none"/>
              </w:rPr>
            </w:pPr>
            <w:r>
              <w:rPr>
                <w:rFonts w:hint="eastAsia" w:ascii="仿宋" w:hAnsi="仿宋" w:eastAsia="仿宋" w:cs="仿宋"/>
                <w:color w:val="auto"/>
                <w:sz w:val="24"/>
                <w:highlight w:val="none"/>
              </w:rPr>
              <w:t>检测费合计</w:t>
            </w:r>
          </w:p>
        </w:tc>
        <w:tc>
          <w:tcPr>
            <w:tcW w:w="1777" w:type="dxa"/>
            <w:noWrap/>
            <w:vAlign w:val="center"/>
          </w:tcPr>
          <w:p w14:paraId="46973CB2">
            <w:pPr>
              <w:spacing w:line="360" w:lineRule="auto"/>
              <w:ind w:firstLine="480" w:firstLineChars="200"/>
              <w:jc w:val="center"/>
              <w:rPr>
                <w:rFonts w:ascii="仿宋" w:hAnsi="仿宋" w:eastAsia="仿宋" w:cs="仿宋"/>
                <w:color w:val="auto"/>
                <w:sz w:val="24"/>
                <w:highlight w:val="none"/>
              </w:rPr>
            </w:pPr>
          </w:p>
        </w:tc>
        <w:tc>
          <w:tcPr>
            <w:tcW w:w="1590" w:type="dxa"/>
            <w:noWrap/>
            <w:vAlign w:val="center"/>
          </w:tcPr>
          <w:p w14:paraId="000CFF7D">
            <w:pPr>
              <w:spacing w:line="360" w:lineRule="auto"/>
              <w:ind w:firstLine="480" w:firstLineChars="200"/>
              <w:jc w:val="center"/>
              <w:rPr>
                <w:rFonts w:ascii="仿宋" w:hAnsi="仿宋" w:eastAsia="仿宋" w:cs="仿宋"/>
                <w:color w:val="auto"/>
                <w:sz w:val="24"/>
                <w:highlight w:val="none"/>
              </w:rPr>
            </w:pPr>
          </w:p>
        </w:tc>
      </w:tr>
    </w:tbl>
    <w:p w14:paraId="6639A2BA">
      <w:pPr>
        <w:spacing w:line="360" w:lineRule="auto"/>
        <w:ind w:firstLine="480" w:firstLineChars="200"/>
        <w:rPr>
          <w:rFonts w:ascii="仿宋" w:hAnsi="仿宋" w:eastAsia="仿宋" w:cs="仿宋"/>
          <w:color w:val="auto"/>
          <w:sz w:val="24"/>
          <w:highlight w:val="none"/>
        </w:rPr>
      </w:pPr>
    </w:p>
    <w:p w14:paraId="2E1DF473">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注：1、以上报价按交通运输部《公路工程（竣）交工验收办法实施细则》（交公路发〔2010〕65号）中检测频率要求以及参考《陕西省公路工程竣（交）工验收检测费用计算办法（试行）》（陕交发〔2006〕42号）计算；</w:t>
      </w:r>
    </w:p>
    <w:p w14:paraId="56F3AE69">
      <w:pPr>
        <w:spacing w:line="360" w:lineRule="auto"/>
        <w:ind w:firstLine="480" w:firstLineChars="200"/>
        <w:rPr>
          <w:rFonts w:ascii="仿宋" w:hAnsi="仿宋" w:eastAsia="仿宋" w:cs="仿宋"/>
          <w:color w:val="auto"/>
          <w:kern w:val="0"/>
          <w:sz w:val="24"/>
          <w:highlight w:val="none"/>
        </w:rPr>
      </w:pPr>
      <w:r>
        <w:rPr>
          <w:rFonts w:hint="eastAsia" w:ascii="仿宋" w:hAnsi="仿宋" w:eastAsia="仿宋" w:cs="仿宋"/>
          <w:color w:val="auto"/>
          <w:sz w:val="24"/>
          <w:highlight w:val="none"/>
        </w:rPr>
        <w:t>2、以上综合报价包括了《公路工程（竣）交工验收办法实施细则》必须完成的路基、路面、</w:t>
      </w:r>
      <w:r>
        <w:rPr>
          <w:rFonts w:hint="eastAsia" w:ascii="仿宋" w:hAnsi="仿宋" w:eastAsia="仿宋" w:cs="仿宋"/>
          <w:color w:val="auto"/>
          <w:sz w:val="24"/>
          <w:highlight w:val="none"/>
          <w:lang w:val="en-US" w:eastAsia="zh-CN"/>
        </w:rPr>
        <w:t>桥梁、交安、机电、房建</w:t>
      </w:r>
      <w:r>
        <w:rPr>
          <w:rFonts w:hint="eastAsia" w:ascii="仿宋" w:hAnsi="仿宋" w:eastAsia="仿宋" w:cs="仿宋"/>
          <w:color w:val="auto"/>
          <w:sz w:val="24"/>
          <w:highlight w:val="none"/>
        </w:rPr>
        <w:t>等所有检测项目的费用。</w:t>
      </w:r>
    </w:p>
    <w:p w14:paraId="15478FDC">
      <w:pPr>
        <w:spacing w:line="360" w:lineRule="auto"/>
        <w:ind w:firstLine="3360" w:firstLineChars="1400"/>
        <w:jc w:val="left"/>
        <w:rPr>
          <w:rFonts w:ascii="仿宋" w:hAnsi="仿宋" w:eastAsia="仿宋" w:cs="仿宋"/>
          <w:color w:val="auto"/>
          <w:sz w:val="24"/>
          <w:highlight w:val="none"/>
        </w:rPr>
      </w:pPr>
    </w:p>
    <w:p w14:paraId="66AEC2E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51300C"/>
    <w:rsid w:val="274E2CD0"/>
    <w:rsid w:val="2B51300C"/>
    <w:rsid w:val="2ED710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3"/>
    <w:next w:val="1"/>
    <w:qFormat/>
    <w:uiPriority w:val="0"/>
    <w:rPr>
      <w:rFonts w:ascii="Copperplate Gothic Bold" w:hAnsi="Copperplate Gothic Bold"/>
      <w:sz w:val="28"/>
    </w:rPr>
  </w:style>
  <w:style w:type="paragraph" w:customStyle="1" w:styleId="3">
    <w:name w:val="正文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2680</Words>
  <Characters>2915</Characters>
  <Lines>0</Lines>
  <Paragraphs>0</Paragraphs>
  <TotalTime>0</TotalTime>
  <ScaleCrop>false</ScaleCrop>
  <LinksUpToDate>false</LinksUpToDate>
  <CharactersWithSpaces>3210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2025-09-01T09:09:00Z</dcterms:created>
  <dc:creator>ttt</dc:creator>
  <cp:lastModifiedBy>ttt</cp:lastModifiedBy>
  <dcterms:modified xsi:type="dcterms:W3CDTF">2025-09-02T01:31:28Z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2D4E45222E8045FA97291945521E24DD_11</vt:lpwstr>
  </property>
  <property fmtid="{D5CDD505-2E9C-101B-9397-08002B2CF9AE}" pid="4" name="KSOTemplateDocerSaveRecord">
    <vt:lpwstr>eyJoZGlkIjoiNWJlMTZkNzkxYTk2ZWMzMDUxYmFlZDhhYTA3N2E0OTEifQ==</vt:lpwstr>
  </property>
</Properties>
</file>