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6F589">
      <w:pPr>
        <w:keepNext/>
        <w:keepLines/>
        <w:widowControl w:val="0"/>
        <w:numPr>
          <w:ilvl w:val="2"/>
          <w:numId w:val="0"/>
        </w:numPr>
        <w:tabs>
          <w:tab w:val="left" w:pos="588"/>
        </w:tabs>
        <w:spacing w:before="624" w:line="360" w:lineRule="auto"/>
        <w:ind w:leftChars="0"/>
        <w:jc w:val="center"/>
        <w:outlineLvl w:val="2"/>
        <w:rPr>
          <w:rFonts w:ascii="仿宋" w:hAnsi="仿宋" w:eastAsia="仿宋" w:cs="仿宋"/>
          <w:b w:val="0"/>
          <w:bCs w:val="0"/>
          <w:color w:val="auto"/>
          <w:kern w:val="2"/>
          <w:sz w:val="28"/>
          <w:szCs w:val="36"/>
          <w:highlight w:val="none"/>
          <w:lang w:val="en-US" w:eastAsia="zh-CN" w:bidi="ar-SA"/>
        </w:rPr>
      </w:pPr>
      <w:r>
        <w:rPr>
          <w:rFonts w:hint="eastAsia" w:ascii="仿宋" w:hAnsi="仿宋" w:eastAsia="仿宋" w:cs="仿宋"/>
          <w:b w:val="0"/>
          <w:bCs w:val="0"/>
          <w:color w:val="auto"/>
          <w:kern w:val="2"/>
          <w:sz w:val="28"/>
          <w:szCs w:val="36"/>
          <w:highlight w:val="none"/>
          <w:lang w:val="en-US" w:eastAsia="zh-CN" w:bidi="ar-SA"/>
        </w:rPr>
        <w:t>（最后）磋商响应报价一览表</w:t>
      </w:r>
    </w:p>
    <w:p w14:paraId="12980552">
      <w:pPr>
        <w:snapToGrid w:val="0"/>
        <w:spacing w:line="360" w:lineRule="auto"/>
        <w:jc w:val="left"/>
        <w:rPr>
          <w:rFonts w:ascii="仿宋" w:hAnsi="仿宋" w:eastAsia="仿宋" w:cs="仿宋"/>
          <w:color w:val="auto"/>
          <w:highlight w:val="none"/>
        </w:rPr>
      </w:pPr>
      <w:r>
        <w:rPr>
          <w:rFonts w:hint="eastAsia" w:ascii="仿宋" w:hAnsi="仿宋" w:eastAsia="仿宋" w:cs="仿宋"/>
          <w:color w:val="auto"/>
          <w:highlight w:val="none"/>
        </w:rPr>
        <w:t>项目名称：S107环山旅游公路周鄠界至马召段改造提升工程竣(交)工验收检测</w:t>
      </w:r>
    </w:p>
    <w:p w14:paraId="2D0C4FAC">
      <w:pPr>
        <w:snapToGrid w:val="0"/>
        <w:spacing w:line="360" w:lineRule="auto"/>
        <w:jc w:val="left"/>
        <w:rPr>
          <w:rFonts w:ascii="仿宋" w:hAnsi="仿宋" w:eastAsia="仿宋" w:cs="仿宋"/>
          <w:color w:val="auto"/>
          <w:highlight w:val="none"/>
        </w:rPr>
      </w:pPr>
      <w:r>
        <w:rPr>
          <w:rFonts w:hint="eastAsia" w:ascii="仿宋" w:hAnsi="仿宋" w:eastAsia="仿宋" w:cs="仿宋"/>
          <w:color w:val="auto"/>
          <w:highlight w:val="none"/>
        </w:rPr>
        <w:t>项目编号：SCZD2025-CS-1799/001</w:t>
      </w:r>
    </w:p>
    <w:tbl>
      <w:tblPr>
        <w:tblStyle w:val="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757"/>
        <w:gridCol w:w="1381"/>
        <w:gridCol w:w="1459"/>
        <w:gridCol w:w="2409"/>
      </w:tblGrid>
      <w:tr w14:paraId="42C5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885" w:type="pct"/>
            <w:vAlign w:val="center"/>
          </w:tcPr>
          <w:p w14:paraId="19B75F1E">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项目内容</w:t>
            </w:r>
          </w:p>
        </w:tc>
        <w:tc>
          <w:tcPr>
            <w:tcW w:w="1032" w:type="pct"/>
            <w:vAlign w:val="center"/>
          </w:tcPr>
          <w:p w14:paraId="01162951">
            <w:pPr>
              <w:snapToGrid w:val="0"/>
              <w:spacing w:line="360" w:lineRule="auto"/>
              <w:jc w:val="center"/>
              <w:rPr>
                <w:rFonts w:ascii="仿宋" w:hAnsi="仿宋" w:eastAsia="仿宋" w:cs="仿宋"/>
                <w:color w:val="auto"/>
                <w:highlight w:val="none"/>
              </w:rPr>
            </w:pPr>
            <w:r>
              <w:rPr>
                <w:rFonts w:hint="eastAsia" w:ascii="仿宋" w:hAnsi="仿宋" w:eastAsia="仿宋" w:cs="仿宋"/>
                <w:color w:val="auto"/>
                <w:highlight w:val="none"/>
              </w:rPr>
              <w:t>磋商总报价</w:t>
            </w:r>
          </w:p>
          <w:p w14:paraId="3783DA32">
            <w:pPr>
              <w:snapToGrid w:val="0"/>
              <w:spacing w:line="360" w:lineRule="auto"/>
              <w:jc w:val="center"/>
              <w:rPr>
                <w:rFonts w:ascii="仿宋" w:hAnsi="仿宋" w:eastAsia="仿宋" w:cs="仿宋"/>
                <w:color w:val="auto"/>
                <w:szCs w:val="21"/>
                <w:highlight w:val="none"/>
              </w:rPr>
            </w:pPr>
            <w:r>
              <w:rPr>
                <w:rFonts w:hint="eastAsia" w:ascii="仿宋" w:hAnsi="仿宋" w:eastAsia="仿宋" w:cs="仿宋"/>
                <w:color w:val="auto"/>
                <w:highlight w:val="none"/>
              </w:rPr>
              <w:t>（元）</w:t>
            </w:r>
          </w:p>
        </w:tc>
        <w:tc>
          <w:tcPr>
            <w:tcW w:w="811" w:type="pct"/>
            <w:vAlign w:val="center"/>
          </w:tcPr>
          <w:p w14:paraId="2C902B1C">
            <w:pPr>
              <w:snapToGrid w:val="0"/>
              <w:spacing w:line="360" w:lineRule="auto"/>
              <w:jc w:val="center"/>
              <w:rPr>
                <w:rFonts w:ascii="仿宋" w:hAnsi="仿宋" w:eastAsia="仿宋" w:cs="仿宋"/>
                <w:color w:val="auto"/>
                <w:szCs w:val="21"/>
                <w:highlight w:val="none"/>
              </w:rPr>
            </w:pPr>
            <w:r>
              <w:rPr>
                <w:rFonts w:hint="eastAsia" w:ascii="仿宋" w:hAnsi="仿宋" w:eastAsia="仿宋" w:cs="仿宋"/>
                <w:color w:val="auto"/>
                <w:highlight w:val="none"/>
              </w:rPr>
              <w:t>服务期</w:t>
            </w:r>
          </w:p>
        </w:tc>
        <w:tc>
          <w:tcPr>
            <w:tcW w:w="857" w:type="pct"/>
            <w:vAlign w:val="center"/>
          </w:tcPr>
          <w:p w14:paraId="0B92E44B">
            <w:pPr>
              <w:snapToGrid w:val="0"/>
              <w:spacing w:line="360" w:lineRule="auto"/>
              <w:jc w:val="center"/>
              <w:rPr>
                <w:rFonts w:ascii="仿宋" w:hAnsi="仿宋" w:eastAsia="仿宋" w:cs="仿宋"/>
                <w:color w:val="auto"/>
                <w:szCs w:val="21"/>
                <w:highlight w:val="none"/>
              </w:rPr>
            </w:pPr>
            <w:r>
              <w:rPr>
                <w:rFonts w:hint="eastAsia" w:ascii="仿宋" w:hAnsi="仿宋" w:eastAsia="仿宋" w:cs="仿宋"/>
                <w:color w:val="auto"/>
                <w:highlight w:val="none"/>
              </w:rPr>
              <w:t>服务质量</w:t>
            </w:r>
          </w:p>
        </w:tc>
        <w:tc>
          <w:tcPr>
            <w:tcW w:w="1414" w:type="pct"/>
            <w:vAlign w:val="center"/>
          </w:tcPr>
          <w:p w14:paraId="60DC8B0C">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21B5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jc w:val="center"/>
        </w:trPr>
        <w:tc>
          <w:tcPr>
            <w:tcW w:w="885" w:type="pct"/>
            <w:vAlign w:val="center"/>
          </w:tcPr>
          <w:p w14:paraId="79613F18">
            <w:pPr>
              <w:jc w:val="center"/>
              <w:rPr>
                <w:rFonts w:ascii="仿宋" w:hAnsi="仿宋" w:eastAsia="仿宋" w:cs="仿宋"/>
                <w:color w:val="auto"/>
                <w:szCs w:val="21"/>
                <w:highlight w:val="none"/>
              </w:rPr>
            </w:pPr>
            <w:r>
              <w:rPr>
                <w:rFonts w:hint="eastAsia" w:ascii="仿宋" w:hAnsi="仿宋" w:eastAsia="仿宋" w:cs="仿宋"/>
                <w:color w:val="auto"/>
                <w:szCs w:val="21"/>
                <w:highlight w:val="none"/>
              </w:rPr>
              <w:t>S107环山旅游公路周鄠界至马召段改造提升工程竣(交)工验收检测</w:t>
            </w:r>
          </w:p>
        </w:tc>
        <w:tc>
          <w:tcPr>
            <w:tcW w:w="1032" w:type="pct"/>
            <w:vAlign w:val="center"/>
          </w:tcPr>
          <w:p w14:paraId="3A793BEF">
            <w:pPr>
              <w:jc w:val="left"/>
              <w:rPr>
                <w:rFonts w:ascii="仿宋" w:hAnsi="仿宋" w:eastAsia="仿宋" w:cs="仿宋"/>
                <w:color w:val="auto"/>
                <w:highlight w:val="none"/>
              </w:rPr>
            </w:pPr>
            <w:r>
              <w:rPr>
                <w:rFonts w:hint="eastAsia" w:ascii="仿宋" w:hAnsi="仿宋" w:eastAsia="仿宋" w:cs="仿宋"/>
                <w:color w:val="auto"/>
                <w:highlight w:val="none"/>
              </w:rPr>
              <w:t>大写：</w:t>
            </w:r>
          </w:p>
          <w:p w14:paraId="2CAF8944">
            <w:pPr>
              <w:jc w:val="left"/>
              <w:rPr>
                <w:rFonts w:ascii="仿宋" w:hAnsi="仿宋" w:eastAsia="仿宋" w:cs="仿宋"/>
                <w:color w:val="auto"/>
                <w:highlight w:val="none"/>
              </w:rPr>
            </w:pPr>
            <w:r>
              <w:rPr>
                <w:rFonts w:hint="eastAsia" w:ascii="仿宋" w:hAnsi="仿宋" w:eastAsia="仿宋" w:cs="仿宋"/>
                <w:color w:val="auto"/>
                <w:highlight w:val="none"/>
              </w:rPr>
              <w:t>小写：</w:t>
            </w:r>
          </w:p>
        </w:tc>
        <w:tc>
          <w:tcPr>
            <w:tcW w:w="811" w:type="pct"/>
            <w:vAlign w:val="center"/>
          </w:tcPr>
          <w:p w14:paraId="123A3D4F">
            <w:pPr>
              <w:jc w:val="center"/>
              <w:rPr>
                <w:rFonts w:ascii="仿宋" w:hAnsi="仿宋" w:eastAsia="仿宋" w:cs="仿宋"/>
                <w:color w:val="auto"/>
                <w:szCs w:val="21"/>
                <w:highlight w:val="none"/>
              </w:rPr>
            </w:pPr>
          </w:p>
        </w:tc>
        <w:tc>
          <w:tcPr>
            <w:tcW w:w="857" w:type="pct"/>
            <w:vAlign w:val="center"/>
          </w:tcPr>
          <w:p w14:paraId="3791CC22">
            <w:pPr>
              <w:jc w:val="center"/>
              <w:rPr>
                <w:rFonts w:ascii="仿宋" w:hAnsi="仿宋" w:eastAsia="仿宋" w:cs="仿宋"/>
                <w:color w:val="auto"/>
                <w:szCs w:val="21"/>
                <w:highlight w:val="none"/>
              </w:rPr>
            </w:pPr>
          </w:p>
        </w:tc>
        <w:tc>
          <w:tcPr>
            <w:tcW w:w="1414" w:type="pct"/>
            <w:vAlign w:val="center"/>
          </w:tcPr>
          <w:p w14:paraId="78501423">
            <w:pPr>
              <w:jc w:val="center"/>
              <w:rPr>
                <w:rFonts w:ascii="仿宋" w:hAnsi="仿宋" w:eastAsia="仿宋" w:cs="仿宋"/>
                <w:color w:val="auto"/>
                <w:szCs w:val="21"/>
                <w:highlight w:val="none"/>
              </w:rPr>
            </w:pPr>
          </w:p>
        </w:tc>
      </w:tr>
      <w:tr w14:paraId="6B4D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000" w:type="pct"/>
            <w:gridSpan w:val="5"/>
            <w:vAlign w:val="center"/>
          </w:tcPr>
          <w:p w14:paraId="572E3547">
            <w:pPr>
              <w:spacing w:line="360" w:lineRule="auto"/>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备注：1.供应商磋商总报价不得超过最高限价或预算，否则响应文件按无效标处理；</w:t>
            </w:r>
          </w:p>
          <w:p w14:paraId="5FF99213">
            <w:pPr>
              <w:spacing w:line="360" w:lineRule="auto"/>
              <w:ind w:firstLine="632" w:firstLineChars="300"/>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2.表内报价内容以元为单位，保留小数点后两位。</w:t>
            </w:r>
          </w:p>
        </w:tc>
      </w:tr>
    </w:tbl>
    <w:p w14:paraId="1F23534A">
      <w:pPr>
        <w:snapToGrid w:val="0"/>
        <w:spacing w:line="360" w:lineRule="auto"/>
        <w:rPr>
          <w:rFonts w:ascii="仿宋" w:hAnsi="仿宋" w:eastAsia="仿宋" w:cs="仿宋"/>
          <w:color w:val="auto"/>
          <w:highlight w:val="none"/>
        </w:rPr>
      </w:pPr>
    </w:p>
    <w:p w14:paraId="051AC6DD">
      <w:pPr>
        <w:snapToGrid w:val="0"/>
        <w:spacing w:line="360" w:lineRule="auto"/>
        <w:rPr>
          <w:rFonts w:ascii="仿宋" w:hAnsi="仿宋" w:eastAsia="仿宋" w:cs="仿宋"/>
          <w:color w:val="auto"/>
          <w:highlight w:val="none"/>
        </w:rPr>
      </w:pPr>
    </w:p>
    <w:p w14:paraId="4C8AC479">
      <w:pPr>
        <w:autoSpaceDE w:val="0"/>
        <w:autoSpaceDN w:val="0"/>
        <w:adjustRightInd w:val="0"/>
        <w:snapToGrid w:val="0"/>
        <w:spacing w:line="360" w:lineRule="auto"/>
        <w:rPr>
          <w:rFonts w:ascii="仿宋" w:hAnsi="仿宋" w:eastAsia="仿宋" w:cs="仿宋"/>
          <w:color w:val="auto"/>
          <w:sz w:val="24"/>
          <w:highlight w:val="none"/>
        </w:rPr>
      </w:pPr>
    </w:p>
    <w:p w14:paraId="20B78C00">
      <w:pPr>
        <w:spacing w:line="360" w:lineRule="auto"/>
        <w:ind w:firstLine="1920" w:firstLineChars="800"/>
        <w:rPr>
          <w:rFonts w:ascii="仿宋" w:hAnsi="仿宋" w:eastAsia="仿宋" w:cs="仿宋"/>
          <w:color w:val="auto"/>
          <w:sz w:val="24"/>
          <w:highlight w:val="none"/>
        </w:rPr>
      </w:pPr>
      <w:r>
        <w:rPr>
          <w:rFonts w:hint="eastAsia" w:ascii="仿宋" w:hAnsi="仿宋" w:eastAsia="仿宋" w:cs="仿宋"/>
          <w:color w:val="auto"/>
          <w:sz w:val="24"/>
          <w:highlight w:val="none"/>
        </w:rPr>
        <w:t>供应商（盖公章）：</w:t>
      </w:r>
    </w:p>
    <w:p w14:paraId="1B91244A">
      <w:pPr>
        <w:spacing w:line="360" w:lineRule="auto"/>
        <w:ind w:firstLine="1920" w:firstLineChars="800"/>
        <w:rPr>
          <w:rFonts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法定代表人（或单位负责人）或授权代表（签字或盖章）：</w:t>
      </w:r>
    </w:p>
    <w:p w14:paraId="7120814E">
      <w:pPr>
        <w:spacing w:line="360" w:lineRule="auto"/>
        <w:ind w:firstLine="1920" w:firstLineChars="800"/>
        <w:rPr>
          <w:rFonts w:ascii="仿宋" w:hAnsi="仿宋" w:eastAsia="仿宋" w:cs="仿宋"/>
          <w:color w:val="auto"/>
          <w:kern w:val="0"/>
          <w:sz w:val="24"/>
          <w:highlight w:val="none"/>
          <w:u w:val="single"/>
        </w:rPr>
      </w:pPr>
      <w:r>
        <w:rPr>
          <w:rFonts w:hint="eastAsia" w:ascii="仿宋" w:hAnsi="仿宋" w:eastAsia="仿宋" w:cs="仿宋"/>
          <w:color w:val="auto"/>
          <w:sz w:val="24"/>
          <w:highlight w:val="none"/>
        </w:rPr>
        <w:t>日    期：</w:t>
      </w:r>
    </w:p>
    <w:p w14:paraId="234B3B76">
      <w:pPr>
        <w:rPr>
          <w:rFonts w:ascii="仿宋" w:hAnsi="仿宋" w:eastAsia="仿宋" w:cs="仿宋"/>
          <w:color w:val="auto"/>
          <w:szCs w:val="21"/>
          <w:highlight w:val="none"/>
        </w:rPr>
      </w:pPr>
    </w:p>
    <w:p w14:paraId="2E1674D2">
      <w:pPr>
        <w:rPr>
          <w:rFonts w:ascii="仿宋" w:hAnsi="仿宋" w:eastAsia="仿宋" w:cs="仿宋"/>
          <w:color w:val="auto"/>
          <w:highlight w:val="none"/>
        </w:rPr>
      </w:pPr>
    </w:p>
    <w:p w14:paraId="17AB75E9">
      <w:pPr>
        <w:rPr>
          <w:rFonts w:ascii="仿宋" w:hAnsi="仿宋" w:eastAsia="仿宋" w:cs="仿宋"/>
          <w:color w:val="auto"/>
          <w:highlight w:val="none"/>
        </w:rPr>
      </w:pPr>
    </w:p>
    <w:p w14:paraId="410940BA">
      <w:pPr>
        <w:widowControl w:val="0"/>
        <w:tabs>
          <w:tab w:val="center" w:pos="4153"/>
          <w:tab w:val="right" w:pos="8306"/>
        </w:tabs>
        <w:snapToGrid w:val="0"/>
        <w:jc w:val="left"/>
        <w:rPr>
          <w:rFonts w:ascii="仿宋" w:hAnsi="仿宋" w:eastAsia="仿宋" w:cs="仿宋"/>
          <w:b/>
          <w:bCs/>
          <w:color w:val="auto"/>
          <w:kern w:val="2"/>
          <w:sz w:val="18"/>
          <w:szCs w:val="24"/>
          <w:highlight w:val="none"/>
          <w:lang w:val="en-US" w:eastAsia="zh-CN" w:bidi="ar-SA"/>
        </w:rPr>
      </w:pPr>
      <w:r>
        <w:rPr>
          <w:rFonts w:hint="eastAsia" w:ascii="仿宋" w:hAnsi="仿宋" w:eastAsia="仿宋" w:cs="仿宋"/>
          <w:b/>
          <w:bCs/>
          <w:color w:val="auto"/>
          <w:kern w:val="2"/>
          <w:sz w:val="18"/>
          <w:szCs w:val="24"/>
          <w:highlight w:val="none"/>
          <w:lang w:val="en-US" w:eastAsia="zh-CN" w:bidi="ar-SA"/>
        </w:rPr>
        <w:t>备注：本表为（最后）磋商响应报价表参考格式，供应商无需在采购文件中提供，此（最后）磋商响应报价表在线上磋商过程中要求上传时再以附件形式上传提交。</w:t>
      </w:r>
    </w:p>
    <w:p w14:paraId="1F969A41">
      <w:pPr>
        <w:widowControl w:val="0"/>
        <w:tabs>
          <w:tab w:val="center" w:pos="4153"/>
          <w:tab w:val="right" w:pos="8306"/>
        </w:tabs>
        <w:snapToGrid w:val="0"/>
        <w:jc w:val="left"/>
        <w:rPr>
          <w:rFonts w:ascii="仿宋" w:hAnsi="仿宋" w:eastAsia="仿宋" w:cs="仿宋"/>
          <w:color w:val="auto"/>
          <w:kern w:val="2"/>
          <w:sz w:val="18"/>
          <w:szCs w:val="24"/>
          <w:highlight w:val="none"/>
          <w:lang w:val="en-US" w:eastAsia="zh-CN" w:bidi="ar-SA"/>
        </w:rPr>
      </w:pPr>
    </w:p>
    <w:p w14:paraId="369D4B57">
      <w:pPr>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71C07AED">
      <w:pPr>
        <w:spacing w:before="304" w:line="221" w:lineRule="auto"/>
        <w:jc w:val="center"/>
        <w:outlineLvl w:val="0"/>
        <w:rPr>
          <w:rFonts w:ascii="仿宋" w:hAnsi="仿宋" w:eastAsia="仿宋" w:cs="仿宋"/>
          <w:b/>
          <w:bCs/>
          <w:color w:val="auto"/>
          <w:spacing w:val="17"/>
          <w:sz w:val="30"/>
          <w:szCs w:val="30"/>
          <w:highlight w:val="none"/>
        </w:rPr>
      </w:pPr>
      <w:r>
        <w:rPr>
          <w:rFonts w:hint="eastAsia" w:ascii="仿宋" w:hAnsi="仿宋" w:eastAsia="仿宋" w:cs="仿宋"/>
          <w:b/>
          <w:bCs/>
          <w:color w:val="auto"/>
          <w:spacing w:val="17"/>
          <w:sz w:val="30"/>
          <w:szCs w:val="30"/>
          <w:highlight w:val="none"/>
        </w:rPr>
        <w:t>（最后）磋商分项报价表</w:t>
      </w:r>
    </w:p>
    <w:p w14:paraId="24C6EA50">
      <w:pPr>
        <w:widowControl w:val="0"/>
        <w:adjustRightInd w:val="0"/>
        <w:spacing w:line="315" w:lineRule="atLeast"/>
        <w:textAlignment w:val="baseline"/>
        <w:rPr>
          <w:rFonts w:ascii="仿宋" w:hAnsi="仿宋" w:eastAsia="仿宋" w:cs="仿宋"/>
          <w:color w:val="auto"/>
          <w:sz w:val="24"/>
          <w:szCs w:val="18"/>
          <w:highlight w:val="none"/>
          <w:lang w:val="en-US" w:eastAsia="zh-CN" w:bidi="ar-SA"/>
        </w:rPr>
      </w:pPr>
      <w:r>
        <w:rPr>
          <w:rFonts w:hint="eastAsia" w:ascii="仿宋" w:hAnsi="仿宋" w:eastAsia="仿宋" w:cs="仿宋"/>
          <w:color w:val="auto"/>
          <w:sz w:val="24"/>
          <w:szCs w:val="18"/>
          <w:highlight w:val="none"/>
          <w:lang w:val="en-US" w:eastAsia="zh-CN" w:bidi="ar-SA"/>
        </w:rPr>
        <w:t>项目名称：S107环山旅游公路周鄠界至马召段改造提升工程竣(交)工验收检测</w:t>
      </w:r>
    </w:p>
    <w:p w14:paraId="393EB77A">
      <w:pPr>
        <w:widowControl w:val="0"/>
        <w:adjustRightInd w:val="0"/>
        <w:spacing w:line="315" w:lineRule="atLeast"/>
        <w:textAlignment w:val="baseline"/>
        <w:rPr>
          <w:rFonts w:ascii="Copperplate Gothic Bold" w:hAnsi="Copperplate Gothic Bold" w:eastAsia="宋体" w:cs="Times New Roman"/>
          <w:color w:val="auto"/>
          <w:sz w:val="24"/>
          <w:szCs w:val="18"/>
          <w:highlight w:val="none"/>
          <w:lang w:val="en-US" w:eastAsia="zh-CN" w:bidi="ar-SA"/>
        </w:rPr>
      </w:pPr>
      <w:r>
        <w:rPr>
          <w:rFonts w:hint="eastAsia" w:ascii="仿宋" w:hAnsi="仿宋" w:eastAsia="仿宋" w:cs="仿宋"/>
          <w:color w:val="auto"/>
          <w:sz w:val="24"/>
          <w:szCs w:val="18"/>
          <w:highlight w:val="none"/>
          <w:lang w:val="en-US" w:eastAsia="zh-CN" w:bidi="ar-SA"/>
        </w:rPr>
        <w:t>项目编号：SCZD2025-CS-1799/001</w:t>
      </w:r>
    </w:p>
    <w:tbl>
      <w:tblPr>
        <w:tblStyle w:val="8"/>
        <w:tblW w:w="9948" w:type="dxa"/>
        <w:jc w:val="cente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89"/>
        <w:gridCol w:w="1128"/>
        <w:gridCol w:w="1226"/>
        <w:gridCol w:w="1767"/>
        <w:gridCol w:w="1777"/>
        <w:gridCol w:w="2361"/>
      </w:tblGrid>
      <w:tr w14:paraId="5FE350E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1689" w:type="dxa"/>
            <w:vMerge w:val="restart"/>
            <w:noWrap/>
            <w:vAlign w:val="center"/>
          </w:tcPr>
          <w:p w14:paraId="393ACA6F">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w:t>
            </w:r>
          </w:p>
        </w:tc>
        <w:tc>
          <w:tcPr>
            <w:tcW w:w="1128" w:type="dxa"/>
            <w:vMerge w:val="restart"/>
            <w:noWrap/>
            <w:vAlign w:val="center"/>
          </w:tcPr>
          <w:p w14:paraId="689D80B4">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w:t>
            </w:r>
          </w:p>
        </w:tc>
        <w:tc>
          <w:tcPr>
            <w:tcW w:w="1226" w:type="dxa"/>
            <w:vMerge w:val="restart"/>
            <w:noWrap/>
            <w:vAlign w:val="center"/>
          </w:tcPr>
          <w:p w14:paraId="5962E2F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计价数量</w:t>
            </w:r>
          </w:p>
        </w:tc>
        <w:tc>
          <w:tcPr>
            <w:tcW w:w="3544" w:type="dxa"/>
            <w:gridSpan w:val="2"/>
            <w:tcBorders>
              <w:bottom w:val="single" w:color="auto" w:sz="4" w:space="0"/>
            </w:tcBorders>
            <w:noWrap/>
            <w:vAlign w:val="center"/>
          </w:tcPr>
          <w:p w14:paraId="54E633B0">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竣（交）工</w:t>
            </w:r>
          </w:p>
        </w:tc>
        <w:tc>
          <w:tcPr>
            <w:tcW w:w="2361" w:type="dxa"/>
            <w:vMerge w:val="restart"/>
            <w:noWrap/>
            <w:vAlign w:val="center"/>
          </w:tcPr>
          <w:p w14:paraId="538DF1E7">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6E8812A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1689" w:type="dxa"/>
            <w:vMerge w:val="continue"/>
            <w:noWrap/>
            <w:vAlign w:val="center"/>
          </w:tcPr>
          <w:p w14:paraId="4A08848D">
            <w:pPr>
              <w:spacing w:line="360" w:lineRule="auto"/>
              <w:ind w:firstLine="480" w:firstLineChars="200"/>
              <w:jc w:val="center"/>
              <w:rPr>
                <w:rFonts w:ascii="仿宋" w:hAnsi="仿宋" w:eastAsia="仿宋" w:cs="仿宋"/>
                <w:color w:val="auto"/>
                <w:sz w:val="24"/>
                <w:highlight w:val="none"/>
              </w:rPr>
            </w:pPr>
          </w:p>
        </w:tc>
        <w:tc>
          <w:tcPr>
            <w:tcW w:w="1128" w:type="dxa"/>
            <w:vMerge w:val="continue"/>
            <w:noWrap/>
            <w:vAlign w:val="center"/>
          </w:tcPr>
          <w:p w14:paraId="17EC8991">
            <w:pPr>
              <w:spacing w:line="360" w:lineRule="auto"/>
              <w:ind w:firstLine="480" w:firstLineChars="200"/>
              <w:jc w:val="center"/>
              <w:rPr>
                <w:rFonts w:ascii="仿宋" w:hAnsi="仿宋" w:eastAsia="仿宋" w:cs="仿宋"/>
                <w:color w:val="auto"/>
                <w:sz w:val="24"/>
                <w:highlight w:val="none"/>
              </w:rPr>
            </w:pPr>
          </w:p>
        </w:tc>
        <w:tc>
          <w:tcPr>
            <w:tcW w:w="1226" w:type="dxa"/>
            <w:vMerge w:val="continue"/>
            <w:noWrap/>
            <w:vAlign w:val="center"/>
          </w:tcPr>
          <w:p w14:paraId="49A6DDFC">
            <w:pPr>
              <w:spacing w:line="360" w:lineRule="auto"/>
              <w:ind w:firstLine="480" w:firstLineChars="200"/>
              <w:jc w:val="center"/>
              <w:rPr>
                <w:rFonts w:ascii="仿宋" w:hAnsi="仿宋" w:eastAsia="仿宋" w:cs="仿宋"/>
                <w:color w:val="auto"/>
                <w:sz w:val="24"/>
                <w:highlight w:val="none"/>
              </w:rPr>
            </w:pPr>
          </w:p>
        </w:tc>
        <w:tc>
          <w:tcPr>
            <w:tcW w:w="1767" w:type="dxa"/>
            <w:tcBorders>
              <w:top w:val="single" w:color="auto" w:sz="4" w:space="0"/>
            </w:tcBorders>
            <w:noWrap/>
            <w:vAlign w:val="center"/>
          </w:tcPr>
          <w:p w14:paraId="1E241B0B">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单价(元</w:t>
            </w:r>
            <w:r>
              <w:rPr>
                <w:rFonts w:ascii="仿宋" w:hAnsi="仿宋" w:eastAsia="仿宋" w:cs="仿宋"/>
                <w:color w:val="auto"/>
                <w:sz w:val="24"/>
                <w:highlight w:val="none"/>
              </w:rPr>
              <w:t>）</w:t>
            </w:r>
          </w:p>
        </w:tc>
        <w:tc>
          <w:tcPr>
            <w:tcW w:w="1777" w:type="dxa"/>
            <w:tcBorders>
              <w:top w:val="single" w:color="auto" w:sz="4" w:space="0"/>
            </w:tcBorders>
            <w:noWrap/>
            <w:vAlign w:val="center"/>
          </w:tcPr>
          <w:p w14:paraId="486A4539">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费用(元</w:t>
            </w:r>
            <w:r>
              <w:rPr>
                <w:rFonts w:ascii="仿宋" w:hAnsi="仿宋" w:eastAsia="仿宋" w:cs="仿宋"/>
                <w:color w:val="auto"/>
                <w:sz w:val="24"/>
                <w:highlight w:val="none"/>
              </w:rPr>
              <w:t>）</w:t>
            </w:r>
          </w:p>
        </w:tc>
        <w:tc>
          <w:tcPr>
            <w:tcW w:w="2361" w:type="dxa"/>
            <w:vMerge w:val="continue"/>
            <w:shd w:val="clear" w:color="auto" w:fill="auto"/>
            <w:noWrap/>
            <w:vAlign w:val="center"/>
          </w:tcPr>
          <w:p w14:paraId="6E6D01F6">
            <w:pPr>
              <w:spacing w:line="360" w:lineRule="auto"/>
              <w:ind w:firstLine="480" w:firstLineChars="200"/>
              <w:jc w:val="center"/>
              <w:rPr>
                <w:rFonts w:ascii="仿宋" w:hAnsi="仿宋" w:eastAsia="仿宋" w:cs="仿宋"/>
                <w:color w:val="auto"/>
                <w:sz w:val="24"/>
                <w:highlight w:val="none"/>
              </w:rPr>
            </w:pPr>
          </w:p>
        </w:tc>
      </w:tr>
      <w:tr w14:paraId="332A701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689" w:type="dxa"/>
            <w:tcBorders>
              <w:top w:val="single" w:color="auto" w:sz="4" w:space="0"/>
            </w:tcBorders>
            <w:noWrap/>
            <w:vAlign w:val="center"/>
          </w:tcPr>
          <w:p w14:paraId="437A5B4F">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路线工程</w:t>
            </w:r>
          </w:p>
        </w:tc>
        <w:tc>
          <w:tcPr>
            <w:tcW w:w="1128" w:type="dxa"/>
            <w:tcBorders>
              <w:top w:val="single" w:color="auto" w:sz="4" w:space="0"/>
              <w:bottom w:val="single" w:color="auto" w:sz="4" w:space="0"/>
            </w:tcBorders>
            <w:noWrap/>
            <w:vAlign w:val="center"/>
          </w:tcPr>
          <w:p w14:paraId="4D5CFFF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公里</w:t>
            </w:r>
          </w:p>
        </w:tc>
        <w:tc>
          <w:tcPr>
            <w:tcW w:w="1226" w:type="dxa"/>
            <w:tcBorders>
              <w:bottom w:val="single" w:color="auto" w:sz="4" w:space="0"/>
            </w:tcBorders>
            <w:noWrap/>
            <w:vAlign w:val="center"/>
          </w:tcPr>
          <w:p w14:paraId="472E668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24.924</w:t>
            </w:r>
          </w:p>
        </w:tc>
        <w:tc>
          <w:tcPr>
            <w:tcW w:w="1767" w:type="dxa"/>
            <w:tcBorders>
              <w:bottom w:val="single" w:color="auto" w:sz="4" w:space="0"/>
            </w:tcBorders>
            <w:noWrap/>
            <w:vAlign w:val="center"/>
          </w:tcPr>
          <w:p w14:paraId="1F0D59E7">
            <w:pPr>
              <w:spacing w:line="360" w:lineRule="auto"/>
              <w:ind w:firstLine="480" w:firstLineChars="200"/>
              <w:jc w:val="center"/>
              <w:rPr>
                <w:rFonts w:ascii="仿宋" w:hAnsi="仿宋" w:eastAsia="仿宋" w:cs="仿宋"/>
                <w:color w:val="auto"/>
                <w:sz w:val="24"/>
                <w:highlight w:val="none"/>
              </w:rPr>
            </w:pPr>
          </w:p>
        </w:tc>
        <w:tc>
          <w:tcPr>
            <w:tcW w:w="1777" w:type="dxa"/>
            <w:tcBorders>
              <w:bottom w:val="single" w:color="auto" w:sz="4" w:space="0"/>
            </w:tcBorders>
            <w:noWrap/>
            <w:vAlign w:val="center"/>
          </w:tcPr>
          <w:p w14:paraId="715B0923">
            <w:pPr>
              <w:spacing w:line="360" w:lineRule="auto"/>
              <w:ind w:firstLine="480" w:firstLineChars="200"/>
              <w:jc w:val="center"/>
              <w:rPr>
                <w:rFonts w:ascii="仿宋" w:hAnsi="仿宋" w:eastAsia="仿宋" w:cs="仿宋"/>
                <w:color w:val="auto"/>
                <w:sz w:val="24"/>
                <w:highlight w:val="none"/>
              </w:rPr>
            </w:pPr>
          </w:p>
        </w:tc>
        <w:tc>
          <w:tcPr>
            <w:tcW w:w="2361" w:type="dxa"/>
            <w:noWrap/>
            <w:vAlign w:val="center"/>
          </w:tcPr>
          <w:p w14:paraId="6FDE5268">
            <w:pPr>
              <w:spacing w:line="360" w:lineRule="auto"/>
              <w:ind w:firstLine="480" w:firstLineChars="200"/>
              <w:jc w:val="center"/>
              <w:rPr>
                <w:rFonts w:ascii="仿宋" w:hAnsi="仿宋" w:eastAsia="仿宋" w:cs="仿宋"/>
                <w:color w:val="auto"/>
                <w:sz w:val="24"/>
                <w:highlight w:val="none"/>
              </w:rPr>
            </w:pPr>
          </w:p>
        </w:tc>
      </w:tr>
      <w:tr w14:paraId="0DFCA12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689" w:type="dxa"/>
            <w:tcBorders>
              <w:top w:val="single" w:color="auto" w:sz="4" w:space="0"/>
            </w:tcBorders>
            <w:noWrap/>
            <w:vAlign w:val="center"/>
          </w:tcPr>
          <w:p w14:paraId="267D5F4D">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桥梁工程</w:t>
            </w:r>
          </w:p>
        </w:tc>
        <w:tc>
          <w:tcPr>
            <w:tcW w:w="1128" w:type="dxa"/>
            <w:noWrap/>
            <w:vAlign w:val="center"/>
          </w:tcPr>
          <w:p w14:paraId="021D58F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米</w:t>
            </w:r>
          </w:p>
        </w:tc>
        <w:tc>
          <w:tcPr>
            <w:tcW w:w="1226" w:type="dxa"/>
            <w:noWrap/>
            <w:vAlign w:val="center"/>
          </w:tcPr>
          <w:p w14:paraId="78BE897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1434.4</w:t>
            </w:r>
          </w:p>
        </w:tc>
        <w:tc>
          <w:tcPr>
            <w:tcW w:w="1767" w:type="dxa"/>
            <w:noWrap/>
            <w:vAlign w:val="center"/>
          </w:tcPr>
          <w:p w14:paraId="0AC1B53F">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6540DB77">
            <w:pPr>
              <w:spacing w:line="360" w:lineRule="auto"/>
              <w:ind w:firstLine="480" w:firstLineChars="200"/>
              <w:jc w:val="center"/>
              <w:rPr>
                <w:rFonts w:ascii="仿宋" w:hAnsi="仿宋" w:eastAsia="仿宋" w:cs="仿宋"/>
                <w:color w:val="auto"/>
                <w:sz w:val="24"/>
                <w:highlight w:val="none"/>
              </w:rPr>
            </w:pPr>
          </w:p>
        </w:tc>
        <w:tc>
          <w:tcPr>
            <w:tcW w:w="2361" w:type="dxa"/>
            <w:noWrap/>
            <w:vAlign w:val="center"/>
          </w:tcPr>
          <w:p w14:paraId="6D345171">
            <w:pPr>
              <w:spacing w:line="360" w:lineRule="auto"/>
              <w:ind w:firstLine="480" w:firstLineChars="200"/>
              <w:jc w:val="center"/>
              <w:rPr>
                <w:rFonts w:ascii="仿宋" w:hAnsi="仿宋" w:eastAsia="仿宋" w:cs="仿宋"/>
                <w:color w:val="auto"/>
                <w:sz w:val="24"/>
                <w:highlight w:val="none"/>
              </w:rPr>
            </w:pPr>
          </w:p>
        </w:tc>
      </w:tr>
      <w:tr w14:paraId="2D9C481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689" w:type="dxa"/>
            <w:noWrap/>
            <w:vAlign w:val="center"/>
          </w:tcPr>
          <w:p w14:paraId="1C620442">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机电工程</w:t>
            </w:r>
          </w:p>
        </w:tc>
        <w:tc>
          <w:tcPr>
            <w:tcW w:w="1128" w:type="dxa"/>
            <w:tcBorders>
              <w:right w:val="single" w:color="auto" w:sz="4" w:space="0"/>
            </w:tcBorders>
            <w:noWrap/>
            <w:vAlign w:val="center"/>
          </w:tcPr>
          <w:p w14:paraId="2522653A">
            <w:pPr>
              <w:spacing w:line="360"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项</w:t>
            </w:r>
          </w:p>
        </w:tc>
        <w:tc>
          <w:tcPr>
            <w:tcW w:w="1226" w:type="dxa"/>
            <w:tcBorders>
              <w:left w:val="single" w:color="auto" w:sz="4" w:space="0"/>
            </w:tcBorders>
            <w:noWrap/>
            <w:vAlign w:val="center"/>
          </w:tcPr>
          <w:p w14:paraId="602EC9B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p>
        </w:tc>
        <w:tc>
          <w:tcPr>
            <w:tcW w:w="1767" w:type="dxa"/>
            <w:noWrap/>
            <w:vAlign w:val="center"/>
          </w:tcPr>
          <w:p w14:paraId="16358FB7">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2B92FEF9">
            <w:pPr>
              <w:spacing w:line="360" w:lineRule="auto"/>
              <w:ind w:firstLine="480" w:firstLineChars="200"/>
              <w:jc w:val="center"/>
              <w:rPr>
                <w:rFonts w:ascii="仿宋" w:hAnsi="仿宋" w:eastAsia="仿宋" w:cs="仿宋"/>
                <w:color w:val="auto"/>
                <w:sz w:val="24"/>
                <w:highlight w:val="none"/>
              </w:rPr>
            </w:pPr>
          </w:p>
        </w:tc>
        <w:tc>
          <w:tcPr>
            <w:tcW w:w="2361" w:type="dxa"/>
            <w:noWrap/>
            <w:vAlign w:val="center"/>
          </w:tcPr>
          <w:p w14:paraId="149D5F0F">
            <w:pPr>
              <w:spacing w:line="360" w:lineRule="auto"/>
              <w:jc w:val="both"/>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智慧交通、路灯等</w:t>
            </w:r>
            <w:bookmarkStart w:id="0" w:name="_GoBack"/>
            <w:bookmarkEnd w:id="0"/>
          </w:p>
        </w:tc>
      </w:tr>
      <w:tr w14:paraId="662EC79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689" w:type="dxa"/>
            <w:noWrap/>
            <w:vAlign w:val="center"/>
          </w:tcPr>
          <w:p w14:paraId="1EDE15B9">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房建工程</w:t>
            </w:r>
          </w:p>
        </w:tc>
        <w:tc>
          <w:tcPr>
            <w:tcW w:w="1128" w:type="dxa"/>
            <w:tcBorders>
              <w:right w:val="single" w:color="auto" w:sz="4" w:space="0"/>
            </w:tcBorders>
            <w:noWrap/>
            <w:vAlign w:val="center"/>
          </w:tcPr>
          <w:p w14:paraId="67959073">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项</w:t>
            </w:r>
          </w:p>
        </w:tc>
        <w:tc>
          <w:tcPr>
            <w:tcW w:w="1226" w:type="dxa"/>
            <w:tcBorders>
              <w:left w:val="single" w:color="auto" w:sz="4" w:space="0"/>
            </w:tcBorders>
            <w:noWrap/>
            <w:vAlign w:val="center"/>
          </w:tcPr>
          <w:p w14:paraId="7F964AF0">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767" w:type="dxa"/>
            <w:noWrap/>
            <w:vAlign w:val="center"/>
          </w:tcPr>
          <w:p w14:paraId="3BBC3EAC">
            <w:pPr>
              <w:spacing w:line="360" w:lineRule="auto"/>
              <w:ind w:firstLine="480" w:firstLineChars="200"/>
              <w:jc w:val="center"/>
              <w:rPr>
                <w:rFonts w:ascii="仿宋" w:hAnsi="仿宋" w:eastAsia="仿宋" w:cs="仿宋"/>
                <w:color w:val="auto"/>
                <w:sz w:val="24"/>
                <w:highlight w:val="none"/>
              </w:rPr>
            </w:pPr>
          </w:p>
        </w:tc>
        <w:tc>
          <w:tcPr>
            <w:tcW w:w="1777" w:type="dxa"/>
            <w:noWrap/>
            <w:vAlign w:val="center"/>
          </w:tcPr>
          <w:p w14:paraId="1BA448C8">
            <w:pPr>
              <w:spacing w:line="360" w:lineRule="auto"/>
              <w:ind w:firstLine="480" w:firstLineChars="200"/>
              <w:jc w:val="center"/>
              <w:rPr>
                <w:rFonts w:ascii="仿宋" w:hAnsi="仿宋" w:eastAsia="仿宋" w:cs="仿宋"/>
                <w:color w:val="auto"/>
                <w:sz w:val="24"/>
                <w:highlight w:val="none"/>
              </w:rPr>
            </w:pPr>
          </w:p>
        </w:tc>
        <w:tc>
          <w:tcPr>
            <w:tcW w:w="2361" w:type="dxa"/>
            <w:noWrap/>
            <w:vAlign w:val="center"/>
          </w:tcPr>
          <w:p w14:paraId="170B07D3">
            <w:pPr>
              <w:spacing w:line="360" w:lineRule="auto"/>
              <w:jc w:val="both"/>
              <w:rPr>
                <w:rFonts w:ascii="仿宋" w:hAnsi="仿宋" w:eastAsia="仿宋" w:cs="仿宋"/>
                <w:color w:val="auto"/>
                <w:sz w:val="21"/>
                <w:szCs w:val="21"/>
                <w:highlight w:val="none"/>
              </w:rPr>
            </w:pPr>
            <w:r>
              <w:rPr>
                <w:rFonts w:hint="eastAsia" w:ascii="仿宋" w:hAnsi="仿宋" w:eastAsia="仿宋" w:cs="仿宋"/>
                <w:color w:val="auto"/>
                <w:sz w:val="21"/>
                <w:szCs w:val="21"/>
                <w:highlight w:val="none"/>
              </w:rPr>
              <w:t>香山寺服务区、团标养护工区</w:t>
            </w:r>
          </w:p>
        </w:tc>
      </w:tr>
      <w:tr w14:paraId="5D679B64">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5810" w:type="dxa"/>
            <w:gridSpan w:val="4"/>
            <w:noWrap/>
            <w:vAlign w:val="center"/>
          </w:tcPr>
          <w:p w14:paraId="65DE4914">
            <w:pPr>
              <w:spacing w:line="360" w:lineRule="auto"/>
              <w:ind w:firstLine="480" w:firstLineChars="200"/>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检测费合计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1777" w:type="dxa"/>
            <w:noWrap/>
            <w:vAlign w:val="center"/>
          </w:tcPr>
          <w:p w14:paraId="0E891D61">
            <w:pPr>
              <w:spacing w:line="360" w:lineRule="auto"/>
              <w:ind w:firstLine="480" w:firstLineChars="200"/>
              <w:jc w:val="center"/>
              <w:rPr>
                <w:rFonts w:ascii="仿宋" w:hAnsi="仿宋" w:eastAsia="仿宋" w:cs="仿宋"/>
                <w:color w:val="auto"/>
                <w:sz w:val="24"/>
                <w:highlight w:val="none"/>
              </w:rPr>
            </w:pPr>
          </w:p>
        </w:tc>
        <w:tc>
          <w:tcPr>
            <w:tcW w:w="2361" w:type="dxa"/>
            <w:noWrap/>
            <w:vAlign w:val="center"/>
          </w:tcPr>
          <w:p w14:paraId="79502FA7">
            <w:pPr>
              <w:spacing w:line="360" w:lineRule="auto"/>
              <w:ind w:firstLine="480" w:firstLineChars="200"/>
              <w:jc w:val="center"/>
              <w:rPr>
                <w:rFonts w:ascii="仿宋" w:hAnsi="仿宋" w:eastAsia="仿宋" w:cs="仿宋"/>
                <w:color w:val="auto"/>
                <w:sz w:val="24"/>
                <w:highlight w:val="none"/>
              </w:rPr>
            </w:pPr>
          </w:p>
        </w:tc>
      </w:tr>
      <w:tr w14:paraId="2D543547">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9948" w:type="dxa"/>
            <w:gridSpan w:val="6"/>
            <w:noWrap/>
            <w:vAlign w:val="center"/>
          </w:tcPr>
          <w:p w14:paraId="7A16941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1、以上报价按交通运输部《公路工程（竣）交工验收办法实施细则》（交公路发〔2010〕65号）中检测频率要求以及参考《陕西省公路工程竣（交）工验收检测费用计算办法（试行）》（陕交发〔2006〕42号）计算；</w:t>
            </w:r>
          </w:p>
          <w:p w14:paraId="246289BF">
            <w:pPr>
              <w:spacing w:line="360" w:lineRule="auto"/>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2、以上综合报价包括了《公路工程（竣）交工验收办法实施细则》必须完成的路基、路面、</w:t>
            </w:r>
            <w:r>
              <w:rPr>
                <w:rFonts w:hint="eastAsia" w:ascii="仿宋" w:hAnsi="仿宋" w:eastAsia="仿宋" w:cs="仿宋"/>
                <w:color w:val="auto"/>
                <w:sz w:val="24"/>
                <w:highlight w:val="none"/>
                <w:lang w:val="en-US" w:eastAsia="zh-CN"/>
              </w:rPr>
              <w:t>桥梁、交安、机电、房建</w:t>
            </w:r>
            <w:r>
              <w:rPr>
                <w:rFonts w:hint="eastAsia" w:ascii="仿宋" w:hAnsi="仿宋" w:eastAsia="仿宋" w:cs="仿宋"/>
                <w:color w:val="auto"/>
                <w:sz w:val="24"/>
                <w:highlight w:val="none"/>
              </w:rPr>
              <w:t>等所有检测项目的费用</w:t>
            </w:r>
            <w:r>
              <w:rPr>
                <w:rFonts w:hint="eastAsia" w:ascii="仿宋" w:hAnsi="仿宋" w:eastAsia="仿宋" w:cs="仿宋"/>
                <w:color w:val="auto"/>
                <w:sz w:val="24"/>
                <w:highlight w:val="none"/>
                <w:lang w:eastAsia="zh-CN"/>
              </w:rPr>
              <w:t>。</w:t>
            </w:r>
          </w:p>
        </w:tc>
      </w:tr>
    </w:tbl>
    <w:p w14:paraId="31464BDA">
      <w:pPr>
        <w:spacing w:line="540" w:lineRule="exact"/>
        <w:jc w:val="left"/>
        <w:outlineLvl w:val="1"/>
        <w:rPr>
          <w:rFonts w:ascii="仿宋" w:hAnsi="仿宋" w:eastAsia="仿宋" w:cs="仿宋"/>
          <w:color w:val="auto"/>
          <w:highlight w:val="none"/>
        </w:rPr>
      </w:pPr>
      <w:r>
        <w:rPr>
          <w:rFonts w:hint="eastAsia" w:ascii="仿宋" w:hAnsi="仿宋" w:eastAsia="仿宋" w:cs="仿宋"/>
          <w:color w:val="auto"/>
          <w:highlight w:val="none"/>
        </w:rPr>
        <w:t>注：1.如果按单价计算的结果与总价不一致，以单价为准修正总价。</w:t>
      </w:r>
    </w:p>
    <w:p w14:paraId="3113B86A">
      <w:pPr>
        <w:spacing w:line="540" w:lineRule="exact"/>
        <w:jc w:val="left"/>
        <w:outlineLvl w:val="1"/>
        <w:rPr>
          <w:rFonts w:ascii="仿宋" w:hAnsi="仿宋" w:eastAsia="仿宋" w:cs="仿宋"/>
          <w:color w:val="auto"/>
          <w:highlight w:val="none"/>
        </w:rPr>
      </w:pPr>
      <w:r>
        <w:rPr>
          <w:rFonts w:hint="eastAsia" w:ascii="仿宋" w:hAnsi="仿宋" w:eastAsia="仿宋" w:cs="仿宋"/>
          <w:color w:val="auto"/>
          <w:highlight w:val="none"/>
        </w:rPr>
        <w:t xml:space="preserve">    2.如果不提供详细分项报价将视为没有实质性响应招标文件。</w:t>
      </w:r>
    </w:p>
    <w:p w14:paraId="3D1F03D3">
      <w:pPr>
        <w:spacing w:line="540" w:lineRule="exact"/>
        <w:jc w:val="left"/>
        <w:outlineLvl w:val="1"/>
        <w:rPr>
          <w:rFonts w:ascii="仿宋" w:hAnsi="仿宋" w:eastAsia="仿宋" w:cs="仿宋"/>
          <w:color w:val="auto"/>
          <w:highlight w:val="none"/>
          <w:lang w:val="zh-CN"/>
        </w:rPr>
      </w:pPr>
      <w:r>
        <w:rPr>
          <w:rFonts w:hint="eastAsia" w:ascii="仿宋" w:hAnsi="仿宋" w:eastAsia="仿宋" w:cs="仿宋"/>
          <w:color w:val="auto"/>
          <w:highlight w:val="none"/>
        </w:rPr>
        <w:t xml:space="preserve">    3.</w:t>
      </w:r>
      <w:r>
        <w:rPr>
          <w:rFonts w:hint="eastAsia" w:ascii="仿宋" w:hAnsi="仿宋" w:eastAsia="仿宋" w:cs="仿宋"/>
          <w:color w:val="auto"/>
          <w:highlight w:val="none"/>
          <w:lang w:val="zh-CN"/>
        </w:rPr>
        <w:t>供应商磋商总报价不得超过最高限价</w:t>
      </w:r>
      <w:r>
        <w:rPr>
          <w:rFonts w:hint="eastAsia" w:ascii="仿宋" w:hAnsi="仿宋" w:eastAsia="仿宋" w:cs="仿宋"/>
          <w:color w:val="auto"/>
          <w:highlight w:val="none"/>
        </w:rPr>
        <w:t>或预算</w:t>
      </w:r>
      <w:r>
        <w:rPr>
          <w:rFonts w:hint="eastAsia" w:ascii="仿宋" w:hAnsi="仿宋" w:eastAsia="仿宋" w:cs="仿宋"/>
          <w:color w:val="auto"/>
          <w:highlight w:val="none"/>
          <w:lang w:val="zh-CN"/>
        </w:rPr>
        <w:t>，否则响应文件按无效标处理；</w:t>
      </w:r>
    </w:p>
    <w:p w14:paraId="47F4EBDB">
      <w:pPr>
        <w:spacing w:line="540" w:lineRule="exact"/>
        <w:ind w:firstLine="420" w:firstLineChars="200"/>
        <w:jc w:val="left"/>
        <w:outlineLvl w:val="1"/>
        <w:rPr>
          <w:rFonts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en-US" w:eastAsia="zh-CN"/>
        </w:rPr>
        <w:t>供应商可适当调整该表格式，但不得减少信息内容</w:t>
      </w:r>
      <w:r>
        <w:rPr>
          <w:rFonts w:hint="eastAsia" w:ascii="仿宋" w:hAnsi="仿宋" w:eastAsia="仿宋" w:cs="仿宋"/>
          <w:color w:val="auto"/>
          <w:highlight w:val="none"/>
          <w:lang w:val="zh-CN"/>
        </w:rPr>
        <w:t>。</w:t>
      </w:r>
    </w:p>
    <w:p w14:paraId="7399055A">
      <w:pPr>
        <w:snapToGrid w:val="0"/>
        <w:spacing w:line="360" w:lineRule="auto"/>
        <w:ind w:right="540" w:rightChars="257"/>
        <w:jc w:val="left"/>
        <w:rPr>
          <w:rFonts w:ascii="仿宋" w:hAnsi="仿宋" w:eastAsia="仿宋" w:cs="仿宋"/>
          <w:color w:val="auto"/>
          <w:highlight w:val="none"/>
        </w:rPr>
      </w:pPr>
    </w:p>
    <w:p w14:paraId="5839AEB9">
      <w:pPr>
        <w:snapToGrid w:val="0"/>
        <w:spacing w:line="360" w:lineRule="auto"/>
        <w:ind w:right="540" w:rightChars="257"/>
        <w:jc w:val="left"/>
        <w:rPr>
          <w:rFonts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（加盖单位公章）  </w:t>
      </w:r>
    </w:p>
    <w:p w14:paraId="27E1E115">
      <w:pPr>
        <w:snapToGrid w:val="0"/>
        <w:spacing w:line="360" w:lineRule="auto"/>
        <w:ind w:right="540" w:rightChars="257"/>
        <w:jc w:val="left"/>
        <w:rPr>
          <w:rFonts w:ascii="仿宋" w:hAnsi="仿宋" w:eastAsia="仿宋" w:cs="仿宋"/>
          <w:color w:val="auto"/>
          <w:highlight w:val="none"/>
        </w:rPr>
      </w:pPr>
      <w:r>
        <w:rPr>
          <w:rFonts w:hint="eastAsia" w:ascii="仿宋" w:hAnsi="仿宋" w:eastAsia="仿宋" w:cs="仿宋"/>
          <w:color w:val="auto"/>
          <w:highlight w:val="none"/>
        </w:rPr>
        <w:t>法定代表人（或单位负责人）或授权代表（签字或盖章）：</w:t>
      </w:r>
    </w:p>
    <w:p w14:paraId="11B1CA94">
      <w:pPr>
        <w:snapToGrid w:val="0"/>
        <w:spacing w:line="360" w:lineRule="auto"/>
        <w:ind w:right="540" w:rightChars="257"/>
        <w:jc w:val="left"/>
        <w:rPr>
          <w:rFonts w:ascii="仿宋" w:hAnsi="仿宋" w:eastAsia="仿宋" w:cs="仿宋"/>
          <w:color w:val="auto"/>
          <w:highlight w:val="none"/>
        </w:rPr>
      </w:pPr>
      <w:r>
        <w:rPr>
          <w:rFonts w:hint="eastAsia" w:ascii="仿宋" w:hAnsi="仿宋" w:eastAsia="仿宋" w:cs="仿宋"/>
          <w:color w:val="auto"/>
          <w:highlight w:val="none"/>
        </w:rPr>
        <w:t>日    期：</w:t>
      </w:r>
    </w:p>
    <w:p w14:paraId="0ED55C7B">
      <w:pPr>
        <w:widowControl w:val="0"/>
        <w:tabs>
          <w:tab w:val="center" w:pos="4153"/>
          <w:tab w:val="right" w:pos="8306"/>
        </w:tabs>
        <w:snapToGrid w:val="0"/>
        <w:jc w:val="left"/>
        <w:rPr>
          <w:rFonts w:hint="default" w:ascii="仿宋" w:hAnsi="仿宋" w:eastAsia="仿宋" w:cs="仿宋"/>
          <w:b/>
          <w:bCs/>
          <w:color w:val="auto"/>
          <w:kern w:val="2"/>
          <w:sz w:val="18"/>
          <w:szCs w:val="24"/>
          <w:highlight w:val="none"/>
          <w:lang w:val="en-US" w:eastAsia="zh-CN" w:bidi="ar-SA"/>
        </w:rPr>
      </w:pPr>
      <w:r>
        <w:rPr>
          <w:rFonts w:hint="eastAsia" w:ascii="仿宋" w:hAnsi="仿宋" w:eastAsia="仿宋" w:cs="仿宋"/>
          <w:b/>
          <w:bCs/>
          <w:color w:val="auto"/>
          <w:kern w:val="2"/>
          <w:sz w:val="18"/>
          <w:szCs w:val="24"/>
          <w:highlight w:val="none"/>
          <w:lang w:val="en-US" w:eastAsia="zh-CN" w:bidi="ar-SA"/>
        </w:rPr>
        <w:t>备注：本表为（最后）磋商响应报价表参考格式，供应商无需在采购文件中提供，此（最后）磋商响应报价表在线上磋商过程中要求上传时再以附件形式上传提交。</w:t>
      </w:r>
    </w:p>
    <w:p w14:paraId="2F2F8E67"/>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9A6A4">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66D75">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1F66D75">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BC1A9">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4"/>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96AA9"/>
    <w:rsid w:val="60796AA9"/>
    <w:rsid w:val="6BA70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lock Text"/>
    <w:basedOn w:val="1"/>
    <w:qFormat/>
    <w:uiPriority w:val="0"/>
    <w:pPr>
      <w:spacing w:after="120"/>
      <w:ind w:left="1440" w:leftChars="700" w:right="700" w:rightChars="700"/>
    </w:pPr>
  </w:style>
  <w:style w:type="paragraph" w:styleId="6">
    <w:name w:val="footer"/>
    <w:basedOn w:val="1"/>
    <w:next w:val="1"/>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803</Words>
  <Characters>874</Characters>
  <Lines>0</Lines>
  <Paragraphs>0</Paragraphs>
  <TotalTime>0</TotalTime>
  <ScaleCrop>false</ScaleCrop>
  <LinksUpToDate>false</LinksUpToDate>
  <CharactersWithSpaces>892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2025-09-02T00:57:00Z</dcterms:created>
  <dc:creator>ttt</dc:creator>
  <cp:lastModifiedBy>ttt</cp:lastModifiedBy>
  <dcterms:modified xsi:type="dcterms:W3CDTF">2025-09-02T01:30:57Z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FB9BD63922D64496A6FBE82225EF3765_11</vt:lpwstr>
  </property>
  <property fmtid="{D5CDD505-2E9C-101B-9397-08002B2CF9AE}" pid="4" name="KSOTemplateDocerSaveRecord">
    <vt:lpwstr>eyJoZGlkIjoiNWJlMTZkNzkxYTk2ZWMzMDUxYmFlZDhhYTA3N2E0OTEifQ==</vt:lpwstr>
  </property>
</Properties>
</file>