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版本号：SXWZ2025ZB-SXCB-21120250903001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“西安动力”全媒体传播项目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SXWZ2025ZB-SXCB-211</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“西安动力”全媒体传播项目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SXWZ2025ZB-SXCB-211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“西安动力”全媒体传播项目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“西安动力”全媒体传播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采购包1（“西安动力”全媒体传播项目）：属于专门面向中小企业采购。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7、中小企业声明函：本项目专门面向中小企业，供应商须提供中小企业声明函；</w:t>
      </w:r>
    </w:p>
    <w:p>
      <w:pPr>
        <w:pStyle w:val="null3"/>
      </w:pPr>
      <w:r>
        <w:rPr>
          <w:rFonts w:ascii="仿宋_GB2312" w:hAnsi="仿宋_GB2312" w:cs="仿宋_GB2312" w:eastAsia="仿宋_GB2312"/>
        </w:rPr>
        <w:t>8、本项目不接受联合体磋商：本项目不接受联合体磋商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029-86780671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“西安动力”全媒体传播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“西安动力”全媒体传播项目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标的名称：“西安动力”全媒体传播项目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该项目以经济</w:t>
            </w:r>
            <w:r>
              <w:rPr>
                <w:rFonts w:ascii="仿宋_GB2312" w:hAnsi="仿宋_GB2312" w:cs="仿宋_GB2312" w:eastAsia="仿宋_GB2312"/>
              </w:rPr>
              <w:t>宣传</w:t>
            </w:r>
            <w:r>
              <w:rPr>
                <w:rFonts w:ascii="仿宋_GB2312" w:hAnsi="仿宋_GB2312" w:cs="仿宋_GB2312" w:eastAsia="仿宋_GB2312"/>
              </w:rPr>
              <w:t>为主，通过展示在推进中国式现代化西安实践中重要改革举措和实践，展现西安在大力发展县域经济、民营经济、开放型经济、数字经济的务实举措，围绕航空航天、兵器工业、民生实事、城市更新、生态保护、文旅产业、人工智能、城市国土规划、加快发展新兴产业和未来产业等，以全球视野，聚焦陕西乃至全国发展中的西安贡献，通过全媒体矩阵式报道，形成有效传播，为创新推进中国式现代化西安实践迈出更大步伐营造良好舆论氛围。</w:t>
            </w:r>
          </w:p>
          <w:p>
            <w:pPr>
              <w:pStyle w:val="null3"/>
              <w:jc w:val="both"/>
            </w:pPr>
            <w:r>
              <w:rPr>
                <w:rFonts w:ascii="仿宋_GB2312" w:hAnsi="仿宋_GB2312" w:cs="仿宋_GB2312" w:eastAsia="仿宋_GB2312"/>
              </w:rPr>
              <w:t>二、服务内容</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启动《西安动力》第一季，以</w:t>
            </w:r>
            <w:r>
              <w:rPr>
                <w:rFonts w:ascii="仿宋_GB2312" w:hAnsi="仿宋_GB2312" w:cs="仿宋_GB2312" w:eastAsia="仿宋_GB2312"/>
              </w:rPr>
              <w:t>“</w:t>
            </w:r>
            <w:r>
              <w:rPr>
                <w:rFonts w:ascii="仿宋_GB2312" w:hAnsi="仿宋_GB2312" w:cs="仿宋_GB2312" w:eastAsia="仿宋_GB2312"/>
              </w:rPr>
              <w:t>深化六个改革</w:t>
            </w:r>
            <w:r>
              <w:rPr>
                <w:rFonts w:ascii="仿宋_GB2312" w:hAnsi="仿宋_GB2312" w:cs="仿宋_GB2312" w:eastAsia="仿宋_GB2312"/>
              </w:rPr>
              <w:t>”</w:t>
            </w:r>
            <w:r>
              <w:rPr>
                <w:rFonts w:ascii="仿宋_GB2312" w:hAnsi="仿宋_GB2312" w:cs="仿宋_GB2312" w:eastAsia="仿宋_GB2312"/>
              </w:rPr>
              <w:t>为脉络，通过</w:t>
            </w:r>
            <w:r>
              <w:rPr>
                <w:rFonts w:ascii="仿宋_GB2312" w:hAnsi="仿宋_GB2312" w:cs="仿宋_GB2312" w:eastAsia="仿宋_GB2312"/>
              </w:rPr>
              <w:t>“</w:t>
            </w:r>
            <w:r>
              <w:rPr>
                <w:rFonts w:ascii="仿宋_GB2312" w:hAnsi="仿宋_GB2312" w:cs="仿宋_GB2312" w:eastAsia="仿宋_GB2312"/>
              </w:rPr>
              <w:t>政策权威解读</w:t>
            </w:r>
            <w:r>
              <w:rPr>
                <w:rFonts w:ascii="仿宋_GB2312" w:hAnsi="仿宋_GB2312" w:cs="仿宋_GB2312" w:eastAsia="仿宋_GB2312"/>
              </w:rPr>
              <w:t>+一线实践案例</w:t>
            </w:r>
            <w:r>
              <w:rPr>
                <w:rFonts w:ascii="仿宋_GB2312" w:hAnsi="仿宋_GB2312" w:cs="仿宋_GB2312" w:eastAsia="仿宋_GB2312"/>
              </w:rPr>
              <w:t>”</w:t>
            </w:r>
            <w:r>
              <w:rPr>
                <w:rFonts w:ascii="仿宋_GB2312" w:hAnsi="仿宋_GB2312" w:cs="仿宋_GB2312" w:eastAsia="仿宋_GB2312"/>
              </w:rPr>
              <w:t>，展现西安深化改革的新举措、新突破、新成效，塑造创新西安、活力西安、品质西安城市形象。</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推出系列短视频《西安动力》第二季</w:t>
            </w:r>
            <w:r>
              <w:rPr>
                <w:rFonts w:ascii="仿宋_GB2312" w:hAnsi="仿宋_GB2312" w:cs="仿宋_GB2312" w:eastAsia="仿宋_GB2312"/>
              </w:rPr>
              <w:t>“</w:t>
            </w:r>
            <w:r>
              <w:rPr>
                <w:rFonts w:ascii="仿宋_GB2312" w:hAnsi="仿宋_GB2312" w:cs="仿宋_GB2312" w:eastAsia="仿宋_GB2312"/>
              </w:rPr>
              <w:t>数说西安</w:t>
            </w:r>
            <w:r>
              <w:rPr>
                <w:rFonts w:ascii="仿宋_GB2312" w:hAnsi="仿宋_GB2312" w:cs="仿宋_GB2312" w:eastAsia="仿宋_GB2312"/>
              </w:rPr>
              <w:t>”</w:t>
            </w:r>
            <w:r>
              <w:rPr>
                <w:rFonts w:ascii="仿宋_GB2312" w:hAnsi="仿宋_GB2312" w:cs="仿宋_GB2312" w:eastAsia="仿宋_GB2312"/>
              </w:rPr>
              <w:t>，以</w:t>
            </w:r>
            <w:r>
              <w:rPr>
                <w:rFonts w:ascii="仿宋_GB2312" w:hAnsi="仿宋_GB2312" w:cs="仿宋_GB2312" w:eastAsia="仿宋_GB2312"/>
              </w:rPr>
              <w:t>“</w:t>
            </w:r>
            <w:r>
              <w:rPr>
                <w:rFonts w:ascii="仿宋_GB2312" w:hAnsi="仿宋_GB2312" w:cs="仿宋_GB2312" w:eastAsia="仿宋_GB2312"/>
              </w:rPr>
              <w:t>可视化数据</w:t>
            </w:r>
            <w:r>
              <w:rPr>
                <w:rFonts w:ascii="仿宋_GB2312" w:hAnsi="仿宋_GB2312" w:cs="仿宋_GB2312" w:eastAsia="仿宋_GB2312"/>
              </w:rPr>
              <w:t>+改革叙事</w:t>
            </w:r>
            <w:r>
              <w:rPr>
                <w:rFonts w:ascii="仿宋_GB2312" w:hAnsi="仿宋_GB2312" w:cs="仿宋_GB2312" w:eastAsia="仿宋_GB2312"/>
              </w:rPr>
              <w:t>”</w:t>
            </w:r>
            <w:r>
              <w:rPr>
                <w:rFonts w:ascii="仿宋_GB2312" w:hAnsi="仿宋_GB2312" w:cs="仿宋_GB2312" w:eastAsia="仿宋_GB2312"/>
              </w:rPr>
              <w:t>为核心，浓缩西安改革进程中的关键数据指标、阶段性成果及未来目标，打造</w:t>
            </w:r>
            <w:r>
              <w:rPr>
                <w:rFonts w:ascii="仿宋_GB2312" w:hAnsi="仿宋_GB2312" w:cs="仿宋_GB2312" w:eastAsia="仿宋_GB2312"/>
              </w:rPr>
              <w:t>“</w:t>
            </w:r>
            <w:r>
              <w:rPr>
                <w:rFonts w:ascii="仿宋_GB2312" w:hAnsi="仿宋_GB2312" w:cs="仿宋_GB2312" w:eastAsia="仿宋_GB2312"/>
              </w:rPr>
              <w:t>轻量化、强传播、易共鸣</w:t>
            </w:r>
            <w:r>
              <w:rPr>
                <w:rFonts w:ascii="仿宋_GB2312" w:hAnsi="仿宋_GB2312" w:cs="仿宋_GB2312" w:eastAsia="仿宋_GB2312"/>
              </w:rPr>
              <w:t>”</w:t>
            </w:r>
            <w:r>
              <w:rPr>
                <w:rFonts w:ascii="仿宋_GB2312" w:hAnsi="仿宋_GB2312" w:cs="仿宋_GB2312" w:eastAsia="仿宋_GB2312"/>
              </w:rPr>
              <w:t>传播。主要内容包括：已实现的改革成效，如</w:t>
            </w:r>
            <w:r>
              <w:rPr>
                <w:rFonts w:ascii="仿宋_GB2312" w:hAnsi="仿宋_GB2312" w:cs="仿宋_GB2312" w:eastAsia="仿宋_GB2312"/>
              </w:rPr>
              <w:t>“</w:t>
            </w:r>
            <w:r>
              <w:rPr>
                <w:rFonts w:ascii="仿宋_GB2312" w:hAnsi="仿宋_GB2312" w:cs="仿宋_GB2312" w:eastAsia="仿宋_GB2312"/>
              </w:rPr>
              <w:t>双中心</w:t>
            </w:r>
            <w:r>
              <w:rPr>
                <w:rFonts w:ascii="仿宋_GB2312" w:hAnsi="仿宋_GB2312" w:cs="仿宋_GB2312" w:eastAsia="仿宋_GB2312"/>
              </w:rPr>
              <w:t>”</w:t>
            </w:r>
            <w:r>
              <w:rPr>
                <w:rFonts w:ascii="仿宋_GB2312" w:hAnsi="仿宋_GB2312" w:cs="仿宋_GB2312" w:eastAsia="仿宋_GB2312"/>
              </w:rPr>
              <w:t>新增科创企业数量、黄河流域生态修复面积等；未来规划指标，如民营经济预期体量，重大项目投资进展等；关键指标变化，如消费活力指数增长、地铁运营里程变化等。</w:t>
            </w:r>
          </w:p>
          <w:p>
            <w:pPr>
              <w:pStyle w:val="null3"/>
              <w:ind w:firstLine="400"/>
              <w:jc w:val="both"/>
            </w:pPr>
            <w:r>
              <w:rPr>
                <w:rFonts w:ascii="仿宋_GB2312" w:hAnsi="仿宋_GB2312" w:cs="仿宋_GB2312" w:eastAsia="仿宋_GB2312"/>
              </w:rPr>
              <w:t>3.推出深度访谈《西安动力》第三季</w:t>
            </w:r>
            <w:r>
              <w:rPr>
                <w:rFonts w:ascii="仿宋_GB2312" w:hAnsi="仿宋_GB2312" w:cs="仿宋_GB2312" w:eastAsia="仿宋_GB2312"/>
              </w:rPr>
              <w:t>“</w:t>
            </w:r>
            <w:r>
              <w:rPr>
                <w:rFonts w:ascii="仿宋_GB2312" w:hAnsi="仿宋_GB2312" w:cs="仿宋_GB2312" w:eastAsia="仿宋_GB2312"/>
              </w:rPr>
              <w:t>改革者说</w:t>
            </w:r>
            <w:r>
              <w:rPr>
                <w:rFonts w:ascii="仿宋_GB2312" w:hAnsi="仿宋_GB2312" w:cs="仿宋_GB2312" w:eastAsia="仿宋_GB2312"/>
              </w:rPr>
              <w:t>”</w:t>
            </w:r>
            <w:r>
              <w:rPr>
                <w:rFonts w:ascii="仿宋_GB2312" w:hAnsi="仿宋_GB2312" w:cs="仿宋_GB2312" w:eastAsia="仿宋_GB2312"/>
              </w:rPr>
              <w:t>，以</w:t>
            </w:r>
            <w:r>
              <w:rPr>
                <w:rFonts w:ascii="仿宋_GB2312" w:hAnsi="仿宋_GB2312" w:cs="仿宋_GB2312" w:eastAsia="仿宋_GB2312"/>
              </w:rPr>
              <w:t>“改革痛点</w:t>
            </w:r>
            <w:r>
              <w:rPr>
                <w:rFonts w:ascii="仿宋_GB2312" w:hAnsi="仿宋_GB2312" w:cs="仿宋_GB2312" w:eastAsia="仿宋_GB2312"/>
              </w:rPr>
              <w:t>——</w:t>
            </w:r>
            <w:r>
              <w:rPr>
                <w:rFonts w:ascii="仿宋_GB2312" w:hAnsi="仿宋_GB2312" w:cs="仿宋_GB2312" w:eastAsia="仿宋_GB2312"/>
              </w:rPr>
              <w:t>破局实践</w:t>
            </w:r>
            <w:r>
              <w:rPr>
                <w:rFonts w:ascii="仿宋_GB2312" w:hAnsi="仿宋_GB2312" w:cs="仿宋_GB2312" w:eastAsia="仿宋_GB2312"/>
              </w:rPr>
              <w:t>——</w:t>
            </w:r>
            <w:r>
              <w:rPr>
                <w:rFonts w:ascii="仿宋_GB2312" w:hAnsi="仿宋_GB2312" w:cs="仿宋_GB2312" w:eastAsia="仿宋_GB2312"/>
              </w:rPr>
              <w:t>未来启示</w:t>
            </w:r>
            <w:r>
              <w:rPr>
                <w:rFonts w:ascii="仿宋_GB2312" w:hAnsi="仿宋_GB2312" w:cs="仿宋_GB2312" w:eastAsia="仿宋_GB2312"/>
              </w:rPr>
              <w:t>”为逻辑链，通过政、企、研多方访谈，解剖西安“深化六个改革”深层逻辑。</w:t>
            </w:r>
          </w:p>
          <w:p>
            <w:pPr>
              <w:pStyle w:val="null3"/>
              <w:ind w:firstLine="400"/>
              <w:jc w:val="both"/>
            </w:pPr>
            <w:r>
              <w:rPr>
                <w:rFonts w:ascii="仿宋_GB2312" w:hAnsi="仿宋_GB2312" w:cs="仿宋_GB2312" w:eastAsia="仿宋_GB2312"/>
              </w:rPr>
              <w:t>4.</w:t>
            </w:r>
            <w:r>
              <w:rPr>
                <w:rFonts w:ascii="仿宋_GB2312" w:hAnsi="仿宋_GB2312" w:cs="仿宋_GB2312" w:eastAsia="仿宋_GB2312"/>
              </w:rPr>
              <w:t>开展</w:t>
            </w:r>
            <w:r>
              <w:rPr>
                <w:rFonts w:ascii="仿宋_GB2312" w:hAnsi="仿宋_GB2312" w:cs="仿宋_GB2312" w:eastAsia="仿宋_GB2312"/>
              </w:rPr>
              <w:t>“</w:t>
            </w:r>
            <w:r>
              <w:rPr>
                <w:rFonts w:ascii="仿宋_GB2312" w:hAnsi="仿宋_GB2312" w:cs="仿宋_GB2312" w:eastAsia="仿宋_GB2312"/>
              </w:rPr>
              <w:t>千年古都新魅力</w:t>
            </w:r>
            <w:r>
              <w:rPr>
                <w:rFonts w:ascii="仿宋_GB2312" w:hAnsi="仿宋_GB2312" w:cs="仿宋_GB2312" w:eastAsia="仿宋_GB2312"/>
              </w:rPr>
              <w:t>——</w:t>
            </w:r>
            <w:r>
              <w:rPr>
                <w:rFonts w:ascii="仿宋_GB2312" w:hAnsi="仿宋_GB2312" w:cs="仿宋_GB2312" w:eastAsia="仿宋_GB2312"/>
              </w:rPr>
              <w:t>网络达人西安行</w:t>
            </w:r>
            <w:r>
              <w:rPr>
                <w:rFonts w:ascii="仿宋_GB2312" w:hAnsi="仿宋_GB2312" w:cs="仿宋_GB2312" w:eastAsia="仿宋_GB2312"/>
              </w:rPr>
              <w:t>”主题活动，</w:t>
            </w:r>
            <w:r>
              <w:rPr>
                <w:rFonts w:ascii="仿宋_GB2312" w:hAnsi="仿宋_GB2312" w:cs="仿宋_GB2312" w:eastAsia="仿宋_GB2312"/>
              </w:rPr>
              <w:t>邀请西安本地抖音、微博达人，通过实地探访，参观了解西安在科技、民生、城乡融合等方面取得的新成效，并以短视频、微博等方式在各自账号广泛传播。</w:t>
            </w:r>
          </w:p>
          <w:p>
            <w:pPr>
              <w:pStyle w:val="null3"/>
              <w:ind w:firstLine="400"/>
              <w:jc w:val="both"/>
            </w:pPr>
            <w:r>
              <w:rPr>
                <w:rFonts w:ascii="仿宋_GB2312" w:hAnsi="仿宋_GB2312" w:cs="仿宋_GB2312" w:eastAsia="仿宋_GB2312"/>
              </w:rPr>
              <w:t>5.根据工作需要，配合我部完成其它宣传策划</w:t>
            </w:r>
            <w:r>
              <w:rPr>
                <w:rFonts w:ascii="仿宋_GB2312" w:hAnsi="仿宋_GB2312" w:cs="仿宋_GB2312" w:eastAsia="仿宋_GB2312"/>
              </w:rPr>
              <w:t>。</w:t>
            </w:r>
          </w:p>
          <w:p>
            <w:pPr>
              <w:pStyle w:val="null3"/>
              <w:jc w:val="both"/>
            </w:pPr>
            <w:r>
              <w:rPr>
                <w:rFonts w:ascii="仿宋_GB2312" w:hAnsi="仿宋_GB2312" w:cs="仿宋_GB2312" w:eastAsia="仿宋_GB2312"/>
              </w:rPr>
              <w:t>三、服务要求</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通过该项目全流程策划传播，制播3分钟内短视频24期、8至10分钟专题片4期，同步配发相应数量海报和深度文章，并举办1次线下采风活动，相关内容多平台刊播后，预期实现全平台综合传播量超8000万，将全面展示西安在经济、科技、文化等领域的发展动力和成就，提升西安城市知名度和影响力，吸引更多关注与合作，为城市发展注入新的活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合同签订后，乙方开具增值税发票，甲方验票无误后，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42</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项目结束后，供应商出具结项报告，第三方验收完成后，</w:t>
      </w:r>
      <w:r>
        <w:rPr>
          <w:rFonts w:ascii="仿宋_GB2312" w:hAnsi="仿宋_GB2312" w:cs="仿宋_GB2312" w:eastAsia="仿宋_GB2312"/>
        </w:rPr>
        <w:t xml:space="preserve"> ，达到付款条件起 </w:t>
      </w:r>
      <w:r>
        <w:rPr>
          <w:rFonts w:ascii="仿宋_GB2312" w:hAnsi="仿宋_GB2312" w:cs="仿宋_GB2312" w:eastAsia="仿宋_GB2312"/>
        </w:rPr>
        <w:t>42</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2、供应商需要在线提交所有通过电子化交易平台实施的政府采购项目的投标文件，同时，线下提交纸质投标文件正本壹份、副本贰份。 纸质投标文件正副本均需胶装， 若电子投标文件与纸质投标文件不一致的，以在线 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依据《中华人民共和国政府采购法》和《中华人民共和国政府采购法实施条例》的有关规定，落实政府采购“优先购买节能环保产品、扶持小微企业、残疾人就业、监狱企业、福利企业”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响应报价未超过预算或最高限价</w:t>
            </w:r>
          </w:p>
        </w:tc>
        <w:tc>
          <w:tcPr>
            <w:tcW w:type="dxa" w:w="1661"/>
          </w:tcPr>
          <w:p>
            <w:pPr>
              <w:pStyle w:val="null3"/>
            </w:pPr>
            <w:r>
              <w:rPr>
                <w:rFonts w:ascii="仿宋_GB2312" w:hAnsi="仿宋_GB2312" w:cs="仿宋_GB2312" w:eastAsia="仿宋_GB2312"/>
              </w:rPr>
              <w:t>响应文件封面 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响应文件封面 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01分项报价表.docx 中小企业声明函 16.供应商承诺书.docx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17.供应商认为其他有必要说明的其他问题.docx 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策划方案</w:t>
            </w:r>
          </w:p>
        </w:tc>
        <w:tc>
          <w:tcPr>
            <w:tcW w:type="dxa" w:w="2492"/>
          </w:tcPr>
          <w:p>
            <w:pPr>
              <w:pStyle w:val="null3"/>
            </w:pPr>
            <w:r>
              <w:rPr>
                <w:rFonts w:ascii="仿宋_GB2312" w:hAnsi="仿宋_GB2312" w:cs="仿宋_GB2312" w:eastAsia="仿宋_GB2312"/>
              </w:rPr>
              <w:t>根据供应商针对本项目提供①启动《西安动力》第一季②推出系列短视频《西安动力》第二季“数说西安”③推出深度访谈《西安动力》第三季“改革者说”④开展“千年古都新魅力——网络达人西安行”主题活动的整体策划及制作全流程方案，策划方案内容紧贴本项目工作要点，主题鲜明，重点突出，思路清晰、理念新颖有创意，完全满足本项目需求每项计3分，本策划方案最高计12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5.策划方案.docx</w:t>
            </w:r>
          </w:p>
        </w:tc>
      </w:tr>
      <w:tr>
        <w:tc>
          <w:tcPr>
            <w:tcW w:type="dxa" w:w="831"/>
            <w:vMerge/>
          </w:tcPr>
          <w:p/>
        </w:tc>
        <w:tc>
          <w:tcPr>
            <w:tcW w:type="dxa" w:w="1661"/>
          </w:tcPr>
          <w:p>
            <w:pPr>
              <w:pStyle w:val="null3"/>
            </w:pPr>
            <w:r>
              <w:rPr>
                <w:rFonts w:ascii="仿宋_GB2312" w:hAnsi="仿宋_GB2312" w:cs="仿宋_GB2312" w:eastAsia="仿宋_GB2312"/>
              </w:rPr>
              <w:t>拍摄方案</w:t>
            </w:r>
          </w:p>
        </w:tc>
        <w:tc>
          <w:tcPr>
            <w:tcW w:type="dxa" w:w="2492"/>
          </w:tcPr>
          <w:p>
            <w:pPr>
              <w:pStyle w:val="null3"/>
            </w:pPr>
            <w:r>
              <w:rPr>
                <w:rFonts w:ascii="仿宋_GB2312" w:hAnsi="仿宋_GB2312" w:cs="仿宋_GB2312" w:eastAsia="仿宋_GB2312"/>
              </w:rPr>
              <w:t>根据供应商针对本项目所提供的短视频拍摄方案（分镜头剧本，前、后期设备配备，视频拍摄，配音，后期制作及封装等）进行综合评定。方案完整，拍摄主题突出、创意能突出重点，满足采购人需求计7分；方案较完整，视频拍摄主题较突出，基本满足采购人需求，计4分；方案有缺失，拍摄主题不突出，不能完全满足采购人需求计1分，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6.拍摄方案.docx</w:t>
            </w:r>
          </w:p>
        </w:tc>
      </w:tr>
      <w:tr>
        <w:tc>
          <w:tcPr>
            <w:tcW w:type="dxa" w:w="831"/>
            <w:vMerge/>
          </w:tcPr>
          <w:p/>
        </w:tc>
        <w:tc>
          <w:tcPr>
            <w:tcW w:type="dxa" w:w="1661"/>
          </w:tcPr>
          <w:p>
            <w:pPr>
              <w:pStyle w:val="null3"/>
            </w:pPr>
            <w:r>
              <w:rPr>
                <w:rFonts w:ascii="仿宋_GB2312" w:hAnsi="仿宋_GB2312" w:cs="仿宋_GB2312" w:eastAsia="仿宋_GB2312"/>
              </w:rPr>
              <w:t>宣传方案</w:t>
            </w:r>
          </w:p>
        </w:tc>
        <w:tc>
          <w:tcPr>
            <w:tcW w:type="dxa" w:w="2492"/>
          </w:tcPr>
          <w:p>
            <w:pPr>
              <w:pStyle w:val="null3"/>
            </w:pPr>
            <w:r>
              <w:rPr>
                <w:rFonts w:ascii="仿宋_GB2312" w:hAnsi="仿宋_GB2312" w:cs="仿宋_GB2312" w:eastAsia="仿宋_GB2312"/>
              </w:rPr>
              <w:t>根据供应商针对本项目所提供的宣传方案，包括但不限于①宣传平台及渠道②宣传方式及宣传物料③宣传覆盖面，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7.宣传方案.docx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提供严格的审片流程、播出的审核流程和机制。按其响应程度进行综合评审。审核流程完整，职责清晰，责任分明，安排合理计7分；审核流程较完整，安排较合理计4分；审核流程不完整，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8.服务质量保障措施.docx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针对本项目实施过程中人员配置情况（包括采编、制作、运营及策划团队等组成情况）进行评审， 1.项目团队人员岗位职责分工明确、人员结构安排合理、从业经验丰富，可行性强，计10分； 2.项目团队人员职责分工较明确、结构安排基本合理，从业经验较丰富，基本可行，计7分； 3.项目团队人员职责分工及结构安排基本明确，人员有一定的工作经验计4分； 4.项目团队人员职责及安排不合理计1分；5.未提供不计分。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9.人员配备.docx</w:t>
            </w:r>
          </w:p>
        </w:tc>
      </w:tr>
      <w:tr>
        <w:tc>
          <w:tcPr>
            <w:tcW w:type="dxa" w:w="831"/>
            <w:vMerge/>
          </w:tcPr>
          <w:p/>
        </w:tc>
        <w:tc>
          <w:tcPr>
            <w:tcW w:type="dxa" w:w="1661"/>
          </w:tcPr>
          <w:p>
            <w:pPr>
              <w:pStyle w:val="null3"/>
            </w:pPr>
            <w:r>
              <w:rPr>
                <w:rFonts w:ascii="仿宋_GB2312" w:hAnsi="仿宋_GB2312" w:cs="仿宋_GB2312" w:eastAsia="仿宋_GB2312"/>
              </w:rPr>
              <w:t>拟投入设施设备</w:t>
            </w:r>
          </w:p>
        </w:tc>
        <w:tc>
          <w:tcPr>
            <w:tcW w:type="dxa" w:w="2492"/>
          </w:tcPr>
          <w:p>
            <w:pPr>
              <w:pStyle w:val="null3"/>
            </w:pPr>
            <w:r>
              <w:rPr>
                <w:rFonts w:ascii="仿宋_GB2312" w:hAnsi="仿宋_GB2312" w:cs="仿宋_GB2312" w:eastAsia="仿宋_GB2312"/>
              </w:rPr>
              <w:t>根据供应商拟投入的关键设施设备、专业设备等的配备情况。 1.设施设备配备齐全、合理、专业能完全满足需求的计5分; 2.设施设备配备有缺陷、基本满足需求的计3分; 3.投入设施设备不能满足项目需求的计1分；4.未提供本项不计分。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10.拟投入设施设备.docx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根据供应商针对本项目提供的进度计划进行评审，方案完善、整体时间安排合理、有效，计划详细计7分；方案可实施性较强，进度安排不合理计4分；方案较差，进度安排不合理计1分；未提供不计分。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11.进度计划安排.docx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针对本项目提供的宣传平台及途径宣传保障的证明材料，(证明材料加盖供应商鲜章），宣传平台及途径资源丰富，证明材料齐全计5分；宣传途径资源较丰富，证明材料较齐全计3分；宣传途径单一，证明材料不齐全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12.履约能力.docx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供应商针对故障及其他突发情况的应急方案，有具体可行的应急措施和解决方案。1.预案完善可行，措施细致可操作性强，计6分； 2.预案基本完整，具有一定的可操作性和针对性，计3分； 3.预案完善程度一般，措施宽泛可操作性一般，计1分； 4.未提供的不计分。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13.应急预案.docx</w:t>
            </w:r>
          </w:p>
        </w:tc>
      </w:tr>
      <w:tr>
        <w:tc>
          <w:tcPr>
            <w:tcW w:type="dxa" w:w="831"/>
            <w:vMerge/>
          </w:tcPr>
          <w:p/>
        </w:tc>
        <w:tc>
          <w:tcPr>
            <w:tcW w:type="dxa" w:w="1661"/>
          </w:tcPr>
          <w:p>
            <w:pPr>
              <w:pStyle w:val="null3"/>
            </w:pPr>
            <w:r>
              <w:rPr>
                <w:rFonts w:ascii="仿宋_GB2312" w:hAnsi="仿宋_GB2312" w:cs="仿宋_GB2312" w:eastAsia="仿宋_GB2312"/>
              </w:rPr>
              <w:t>知识产权承诺</w:t>
            </w:r>
          </w:p>
        </w:tc>
        <w:tc>
          <w:tcPr>
            <w:tcW w:type="dxa" w:w="2492"/>
          </w:tcPr>
          <w:p>
            <w:pPr>
              <w:pStyle w:val="null3"/>
            </w:pPr>
            <w:r>
              <w:rPr>
                <w:rFonts w:ascii="仿宋_GB2312" w:hAnsi="仿宋_GB2312" w:cs="仿宋_GB2312" w:eastAsia="仿宋_GB2312"/>
              </w:rPr>
              <w:t>供应商须承诺作品须为原创，不得抄袭。如作品中含有的非原创性的内容，包括画面、音乐等元素，必须确保无知识产权争议。如有任何侵权行为均由供应商承担相应责任和赔偿。 响应文件中提供以上内容的承诺书得3分，未提供不得分。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14.知识产权承诺.docx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01分项报价表.docx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详见附件：5.策划方案.docx</w:t>
      </w:r>
    </w:p>
    <w:p>
      <w:pPr>
        <w:pStyle w:val="null3"/>
        <w:ind w:firstLine="960"/>
      </w:pPr>
      <w:r>
        <w:rPr>
          <w:rFonts w:ascii="仿宋_GB2312" w:hAnsi="仿宋_GB2312" w:cs="仿宋_GB2312" w:eastAsia="仿宋_GB2312"/>
        </w:rPr>
        <w:t>详见附件：6.拍摄方案.docx</w:t>
      </w:r>
    </w:p>
    <w:p>
      <w:pPr>
        <w:pStyle w:val="null3"/>
        <w:ind w:firstLine="960"/>
      </w:pPr>
      <w:r>
        <w:rPr>
          <w:rFonts w:ascii="仿宋_GB2312" w:hAnsi="仿宋_GB2312" w:cs="仿宋_GB2312" w:eastAsia="仿宋_GB2312"/>
        </w:rPr>
        <w:t>详见附件：7.宣传方案.docx</w:t>
      </w:r>
    </w:p>
    <w:p>
      <w:pPr>
        <w:pStyle w:val="null3"/>
        <w:ind w:firstLine="960"/>
      </w:pPr>
      <w:r>
        <w:rPr>
          <w:rFonts w:ascii="仿宋_GB2312" w:hAnsi="仿宋_GB2312" w:cs="仿宋_GB2312" w:eastAsia="仿宋_GB2312"/>
        </w:rPr>
        <w:t>详见附件：8.服务质量保障措施.docx</w:t>
      </w:r>
    </w:p>
    <w:p>
      <w:pPr>
        <w:pStyle w:val="null3"/>
        <w:ind w:firstLine="960"/>
      </w:pPr>
      <w:r>
        <w:rPr>
          <w:rFonts w:ascii="仿宋_GB2312" w:hAnsi="仿宋_GB2312" w:cs="仿宋_GB2312" w:eastAsia="仿宋_GB2312"/>
        </w:rPr>
        <w:t>详见附件：9.人员配备.docx</w:t>
      </w:r>
    </w:p>
    <w:p>
      <w:pPr>
        <w:pStyle w:val="null3"/>
        <w:ind w:firstLine="960"/>
      </w:pPr>
      <w:r>
        <w:rPr>
          <w:rFonts w:ascii="仿宋_GB2312" w:hAnsi="仿宋_GB2312" w:cs="仿宋_GB2312" w:eastAsia="仿宋_GB2312"/>
        </w:rPr>
        <w:t>详见附件：10.拟投入设施设备.docx</w:t>
      </w:r>
    </w:p>
    <w:p>
      <w:pPr>
        <w:pStyle w:val="null3"/>
        <w:ind w:firstLine="960"/>
      </w:pPr>
      <w:r>
        <w:rPr>
          <w:rFonts w:ascii="仿宋_GB2312" w:hAnsi="仿宋_GB2312" w:cs="仿宋_GB2312" w:eastAsia="仿宋_GB2312"/>
        </w:rPr>
        <w:t>详见附件：11.进度计划安排.docx</w:t>
      </w:r>
    </w:p>
    <w:p>
      <w:pPr>
        <w:pStyle w:val="null3"/>
        <w:ind w:firstLine="960"/>
      </w:pPr>
      <w:r>
        <w:rPr>
          <w:rFonts w:ascii="仿宋_GB2312" w:hAnsi="仿宋_GB2312" w:cs="仿宋_GB2312" w:eastAsia="仿宋_GB2312"/>
        </w:rPr>
        <w:t>详见附件：12.履约能力.docx</w:t>
      </w:r>
    </w:p>
    <w:p>
      <w:pPr>
        <w:pStyle w:val="null3"/>
        <w:ind w:firstLine="960"/>
      </w:pPr>
      <w:r>
        <w:rPr>
          <w:rFonts w:ascii="仿宋_GB2312" w:hAnsi="仿宋_GB2312" w:cs="仿宋_GB2312" w:eastAsia="仿宋_GB2312"/>
        </w:rPr>
        <w:t>详见附件：13.应急预案.docx</w:t>
      </w:r>
    </w:p>
    <w:p>
      <w:pPr>
        <w:pStyle w:val="null3"/>
        <w:ind w:firstLine="960"/>
      </w:pPr>
      <w:r>
        <w:rPr>
          <w:rFonts w:ascii="仿宋_GB2312" w:hAnsi="仿宋_GB2312" w:cs="仿宋_GB2312" w:eastAsia="仿宋_GB2312"/>
        </w:rPr>
        <w:t>详见附件：14.知识产权承诺.docx</w:t>
      </w:r>
    </w:p>
    <w:p>
      <w:pPr>
        <w:pStyle w:val="null3"/>
        <w:ind w:firstLine="960"/>
      </w:pPr>
      <w:r>
        <w:rPr>
          <w:rFonts w:ascii="仿宋_GB2312" w:hAnsi="仿宋_GB2312" w:cs="仿宋_GB2312" w:eastAsia="仿宋_GB2312"/>
        </w:rPr>
        <w:t>详见附件：15.供应商业绩一览表.docx</w:t>
      </w:r>
    </w:p>
    <w:p>
      <w:pPr>
        <w:pStyle w:val="null3"/>
        <w:ind w:firstLine="960"/>
      </w:pPr>
      <w:r>
        <w:rPr>
          <w:rFonts w:ascii="仿宋_GB2312" w:hAnsi="仿宋_GB2312" w:cs="仿宋_GB2312" w:eastAsia="仿宋_GB2312"/>
        </w:rPr>
        <w:t>详见附件：16.供应商承诺书.docx</w:t>
      </w:r>
    </w:p>
    <w:p>
      <w:pPr>
        <w:pStyle w:val="null3"/>
        <w:ind w:firstLine="960"/>
      </w:pPr>
      <w:r>
        <w:rPr>
          <w:rFonts w:ascii="仿宋_GB2312" w:hAnsi="仿宋_GB2312" w:cs="仿宋_GB2312" w:eastAsia="仿宋_GB2312"/>
        </w:rPr>
        <w:t>详见附件：17.供应商认为其他有必要说明的其他问题.docx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详见附件：采购合同模板-“西安动力”全媒体传播项目.docx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