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2D50B">
      <w:pPr>
        <w:pStyle w:val="7"/>
        <w:numPr>
          <w:ilvl w:val="0"/>
          <w:numId w:val="0"/>
        </w:numPr>
        <w:jc w:val="center"/>
        <w:outlineLvl w:val="1"/>
        <w:rPr>
          <w:b/>
          <w:color w:val="000000" w:themeColor="text1"/>
          <w:sz w:val="36"/>
          <w:highlight w:val="none"/>
          <w14:textFill>
            <w14:solidFill>
              <w14:schemeClr w14:val="tx1"/>
            </w14:solidFill>
          </w14:textFill>
        </w:rPr>
      </w:pPr>
      <w:r>
        <w:rPr>
          <w:b/>
          <w:color w:val="000000" w:themeColor="text1"/>
          <w:sz w:val="36"/>
          <w:highlight w:val="none"/>
          <w14:textFill>
            <w14:solidFill>
              <w14:schemeClr w14:val="tx1"/>
            </w14:solidFill>
          </w14:textFill>
        </w:rPr>
        <w:t>拟签订采购合同文本</w:t>
      </w:r>
    </w:p>
    <w:p w14:paraId="77817D2E">
      <w:pPr>
        <w:spacing w:line="268" w:lineRule="auto"/>
        <w:jc w:val="center"/>
        <w:rPr>
          <w:rFonts w:ascii="Arial"/>
          <w:sz w:val="32"/>
          <w:szCs w:val="32"/>
        </w:rPr>
      </w:pPr>
    </w:p>
    <w:p w14:paraId="6BC27BB3">
      <w:pPr>
        <w:spacing w:line="268" w:lineRule="auto"/>
        <w:rPr>
          <w:rFonts w:ascii="Arial"/>
        </w:rPr>
      </w:pPr>
    </w:p>
    <w:p w14:paraId="45827FE5">
      <w:pPr>
        <w:spacing w:line="268" w:lineRule="auto"/>
        <w:rPr>
          <w:rFonts w:ascii="Arial"/>
        </w:rPr>
      </w:pPr>
    </w:p>
    <w:p w14:paraId="14D1AFFE">
      <w:pPr>
        <w:spacing w:line="268" w:lineRule="auto"/>
        <w:rPr>
          <w:rFonts w:ascii="Arial"/>
        </w:rPr>
      </w:pPr>
    </w:p>
    <w:p w14:paraId="23BD8AE3">
      <w:pPr>
        <w:spacing w:line="268" w:lineRule="auto"/>
        <w:rPr>
          <w:rFonts w:ascii="Arial"/>
        </w:rPr>
      </w:pPr>
    </w:p>
    <w:p w14:paraId="4413F202">
      <w:pPr>
        <w:spacing w:before="169" w:line="254" w:lineRule="auto"/>
        <w:ind w:left="11" w:right="135" w:hanging="11"/>
        <w:jc w:val="center"/>
        <w:rPr>
          <w:rFonts w:hint="eastAsia" w:ascii="宋体" w:hAnsi="宋体" w:eastAsia="宋体" w:cs="宋体"/>
          <w:sz w:val="44"/>
          <w:szCs w:val="44"/>
          <w:lang w:eastAsia="zh-CN"/>
        </w:rPr>
      </w:pPr>
      <w:r>
        <w:rPr>
          <w:rFonts w:hint="eastAsia" w:hAnsi="宋体" w:cs="宋体"/>
          <w:sz w:val="44"/>
          <w:szCs w:val="44"/>
          <w:lang w:eastAsia="zh-CN"/>
        </w:rPr>
        <w:t>西安住房公积金管理中心2025年度机房维保项目</w:t>
      </w:r>
    </w:p>
    <w:p w14:paraId="230F491C">
      <w:pPr>
        <w:pStyle w:val="8"/>
        <w:rPr>
          <w:rFonts w:hint="eastAsia" w:ascii="宋体" w:hAnsi="宋体" w:cs="宋体"/>
          <w:sz w:val="44"/>
          <w:szCs w:val="44"/>
        </w:rPr>
      </w:pPr>
    </w:p>
    <w:p w14:paraId="2B38F78F">
      <w:pPr>
        <w:pStyle w:val="8"/>
        <w:rPr>
          <w:rFonts w:hint="eastAsia" w:ascii="宋体" w:hAnsi="宋体" w:cs="宋体"/>
          <w:sz w:val="44"/>
          <w:szCs w:val="44"/>
        </w:rPr>
      </w:pPr>
    </w:p>
    <w:p w14:paraId="57E617C2">
      <w:pPr>
        <w:spacing w:line="268" w:lineRule="auto"/>
        <w:rPr>
          <w:rFonts w:ascii="Arial"/>
        </w:rPr>
      </w:pPr>
    </w:p>
    <w:p w14:paraId="6E56FE0E">
      <w:pPr>
        <w:spacing w:before="231" w:line="222" w:lineRule="auto"/>
        <w:jc w:val="center"/>
        <w:rPr>
          <w:rFonts w:ascii="宋体" w:hAnsi="宋体" w:cs="宋体"/>
          <w:sz w:val="71"/>
          <w:szCs w:val="71"/>
        </w:rPr>
      </w:pPr>
      <w:r>
        <w:rPr>
          <w:rFonts w:ascii="宋体" w:hAnsi="宋体" w:cs="宋体"/>
          <w:sz w:val="71"/>
          <w:szCs w:val="71"/>
        </w:rPr>
        <w:t>服 务 合 同</w:t>
      </w:r>
    </w:p>
    <w:p w14:paraId="3CC5B5ED">
      <w:pPr>
        <w:spacing w:line="257" w:lineRule="auto"/>
        <w:rPr>
          <w:rFonts w:ascii="Arial"/>
        </w:rPr>
      </w:pPr>
    </w:p>
    <w:p w14:paraId="78E93FDF">
      <w:pPr>
        <w:spacing w:line="257" w:lineRule="auto"/>
        <w:rPr>
          <w:rFonts w:ascii="Arial"/>
        </w:rPr>
      </w:pPr>
    </w:p>
    <w:p w14:paraId="0C20935A">
      <w:pPr>
        <w:spacing w:line="257" w:lineRule="auto"/>
        <w:rPr>
          <w:rFonts w:ascii="Arial"/>
        </w:rPr>
      </w:pPr>
    </w:p>
    <w:p w14:paraId="73E1EC2B">
      <w:pPr>
        <w:spacing w:line="257" w:lineRule="auto"/>
        <w:rPr>
          <w:rFonts w:ascii="Arial"/>
        </w:rPr>
      </w:pPr>
    </w:p>
    <w:p w14:paraId="4FAA3DAD">
      <w:pPr>
        <w:spacing w:line="257" w:lineRule="auto"/>
        <w:rPr>
          <w:rFonts w:ascii="Arial"/>
        </w:rPr>
      </w:pPr>
    </w:p>
    <w:p w14:paraId="0970E958">
      <w:pPr>
        <w:spacing w:line="258" w:lineRule="auto"/>
        <w:rPr>
          <w:rFonts w:ascii="Arial"/>
        </w:rPr>
      </w:pPr>
    </w:p>
    <w:p w14:paraId="2D906B80">
      <w:pPr>
        <w:spacing w:line="258" w:lineRule="auto"/>
        <w:rPr>
          <w:rFonts w:ascii="Arial"/>
        </w:rPr>
      </w:pPr>
    </w:p>
    <w:p w14:paraId="26CDDED9">
      <w:pPr>
        <w:spacing w:line="258" w:lineRule="auto"/>
        <w:rPr>
          <w:rFonts w:ascii="Arial"/>
        </w:rPr>
      </w:pPr>
    </w:p>
    <w:p w14:paraId="7A62E0AA">
      <w:pPr>
        <w:spacing w:line="258" w:lineRule="auto"/>
        <w:rPr>
          <w:rFonts w:ascii="Arial"/>
        </w:rPr>
      </w:pPr>
    </w:p>
    <w:p w14:paraId="5F501A61">
      <w:pPr>
        <w:spacing w:line="258" w:lineRule="auto"/>
        <w:rPr>
          <w:rFonts w:ascii="Arial"/>
        </w:rPr>
      </w:pPr>
    </w:p>
    <w:p w14:paraId="383C52AA">
      <w:pPr>
        <w:spacing w:line="258" w:lineRule="auto"/>
        <w:rPr>
          <w:rFonts w:ascii="Arial"/>
        </w:rPr>
      </w:pPr>
    </w:p>
    <w:p w14:paraId="7394B395">
      <w:pPr>
        <w:spacing w:line="258" w:lineRule="auto"/>
        <w:rPr>
          <w:rFonts w:ascii="Arial"/>
        </w:rPr>
      </w:pPr>
    </w:p>
    <w:p w14:paraId="0A2BF831">
      <w:pPr>
        <w:widowControl/>
        <w:kinsoku w:val="0"/>
        <w:autoSpaceDE w:val="0"/>
        <w:autoSpaceDN w:val="0"/>
        <w:adjustRightInd w:val="0"/>
        <w:snapToGrid w:val="0"/>
        <w:spacing w:line="360" w:lineRule="auto"/>
        <w:ind w:firstLine="2170" w:firstLineChars="700"/>
        <w:textAlignment w:val="baseline"/>
        <w:rPr>
          <w:rFonts w:ascii="宋体" w:hAnsi="宋体" w:cs="宋体"/>
          <w:sz w:val="31"/>
          <w:szCs w:val="31"/>
        </w:rPr>
      </w:pPr>
      <w:r>
        <w:rPr>
          <w:rFonts w:ascii="宋体" w:hAnsi="宋体" w:cs="宋体"/>
          <w:sz w:val="31"/>
          <w:szCs w:val="31"/>
        </w:rPr>
        <w:t>甲  方：西安住房公积金管理中心</w:t>
      </w:r>
    </w:p>
    <w:p w14:paraId="1A07CDFA">
      <w:pPr>
        <w:widowControl/>
        <w:kinsoku w:val="0"/>
        <w:autoSpaceDE w:val="0"/>
        <w:autoSpaceDN w:val="0"/>
        <w:adjustRightInd w:val="0"/>
        <w:snapToGrid w:val="0"/>
        <w:spacing w:line="360" w:lineRule="auto"/>
        <w:ind w:firstLine="2170" w:firstLineChars="700"/>
        <w:textAlignment w:val="baseline"/>
        <w:rPr>
          <w:rFonts w:ascii="宋体" w:hAnsi="宋体" w:cs="宋体"/>
          <w:sz w:val="31"/>
          <w:szCs w:val="31"/>
        </w:rPr>
      </w:pPr>
      <w:r>
        <w:rPr>
          <w:rFonts w:ascii="宋体" w:hAnsi="宋体" w:cs="宋体"/>
          <w:sz w:val="31"/>
          <w:szCs w:val="31"/>
        </w:rPr>
        <w:t>乙  方：</w:t>
      </w:r>
    </w:p>
    <w:p w14:paraId="06A0B169">
      <w:pPr>
        <w:widowControl/>
        <w:kinsoku w:val="0"/>
        <w:autoSpaceDE w:val="0"/>
        <w:autoSpaceDN w:val="0"/>
        <w:adjustRightInd w:val="0"/>
        <w:snapToGrid w:val="0"/>
        <w:spacing w:line="360" w:lineRule="auto"/>
        <w:ind w:firstLine="2170" w:firstLineChars="700"/>
        <w:textAlignment w:val="baseline"/>
        <w:rPr>
          <w:rFonts w:ascii="宋体" w:hAnsi="宋体" w:cs="宋体"/>
          <w:sz w:val="31"/>
          <w:szCs w:val="31"/>
        </w:rPr>
      </w:pPr>
      <w:r>
        <w:rPr>
          <w:rFonts w:ascii="宋体" w:hAnsi="宋体" w:cs="宋体"/>
          <w:sz w:val="31"/>
          <w:szCs w:val="31"/>
        </w:rPr>
        <w:t>鉴证方：</w:t>
      </w:r>
      <w:r>
        <w:rPr>
          <w:rFonts w:hint="eastAsia" w:ascii="宋体" w:hAnsi="宋体" w:cs="宋体"/>
          <w:sz w:val="31"/>
          <w:szCs w:val="31"/>
        </w:rPr>
        <w:t>陕西诠睿项目管理有限公司</w:t>
      </w:r>
    </w:p>
    <w:p w14:paraId="1781522D">
      <w:pPr>
        <w:spacing w:before="241" w:line="225" w:lineRule="auto"/>
        <w:ind w:left="3342"/>
        <w:rPr>
          <w:rFonts w:ascii="宋体" w:hAnsi="宋体" w:cs="宋体"/>
          <w:sz w:val="31"/>
          <w:szCs w:val="31"/>
        </w:rPr>
      </w:pPr>
    </w:p>
    <w:p w14:paraId="7C9295C3">
      <w:pPr>
        <w:pStyle w:val="2"/>
      </w:pPr>
    </w:p>
    <w:p w14:paraId="2918A9A3">
      <w:pPr>
        <w:spacing w:before="241" w:line="225" w:lineRule="auto"/>
        <w:jc w:val="center"/>
        <w:rPr>
          <w:rFonts w:ascii="宋体" w:hAnsi="宋体" w:cs="宋体"/>
          <w:sz w:val="31"/>
          <w:szCs w:val="31"/>
        </w:rPr>
      </w:pPr>
      <w:r>
        <w:rPr>
          <w:rFonts w:ascii="宋体" w:hAnsi="宋体" w:cs="宋体"/>
          <w:sz w:val="31"/>
          <w:szCs w:val="31"/>
        </w:rPr>
        <w:t>202</w:t>
      </w:r>
      <w:r>
        <w:rPr>
          <w:rFonts w:hint="eastAsia" w:hAnsi="宋体" w:cs="宋体"/>
          <w:sz w:val="31"/>
          <w:szCs w:val="31"/>
          <w:lang w:val="en-US" w:eastAsia="zh-CN"/>
        </w:rPr>
        <w:t>5</w:t>
      </w:r>
      <w:bookmarkStart w:id="0" w:name="_GoBack"/>
      <w:bookmarkEnd w:id="0"/>
      <w:r>
        <w:rPr>
          <w:rFonts w:ascii="宋体" w:hAnsi="宋体" w:cs="宋体"/>
          <w:sz w:val="31"/>
          <w:szCs w:val="31"/>
        </w:rPr>
        <w:t>年  月</w:t>
      </w:r>
    </w:p>
    <w:p w14:paraId="33BF053A">
      <w:pPr>
        <w:widowControl/>
        <w:kinsoku w:val="0"/>
        <w:autoSpaceDE w:val="0"/>
        <w:autoSpaceDN w:val="0"/>
        <w:adjustRightInd w:val="0"/>
        <w:snapToGrid w:val="0"/>
        <w:spacing w:line="360" w:lineRule="auto"/>
        <w:jc w:val="center"/>
        <w:textAlignment w:val="baseline"/>
        <w:rPr>
          <w:rFonts w:hint="eastAsia" w:ascii="宋体" w:hAnsi="宋体" w:cs="宋体"/>
          <w:sz w:val="24"/>
          <w:szCs w:val="24"/>
        </w:rPr>
      </w:pPr>
      <w:r>
        <w:rPr>
          <w:rFonts w:ascii="宋体" w:hAnsi="宋体" w:cs="宋体"/>
          <w:sz w:val="31"/>
          <w:szCs w:val="31"/>
        </w:rPr>
        <w:t>中国  西安</w:t>
      </w:r>
    </w:p>
    <w:p w14:paraId="239A2DF6">
      <w:pPr>
        <w:widowControl/>
        <w:kinsoku w:val="0"/>
        <w:autoSpaceDE w:val="0"/>
        <w:autoSpaceDN w:val="0"/>
        <w:adjustRightInd w:val="0"/>
        <w:snapToGrid w:val="0"/>
        <w:spacing w:line="360" w:lineRule="auto"/>
        <w:jc w:val="center"/>
        <w:textAlignment w:val="baseline"/>
        <w:rPr>
          <w:rFonts w:hint="eastAsia" w:ascii="宋体" w:hAnsi="宋体" w:cs="宋体"/>
          <w:sz w:val="24"/>
          <w:szCs w:val="24"/>
        </w:rPr>
        <w:sectPr>
          <w:footerReference r:id="rId3" w:type="default"/>
          <w:pgSz w:w="11906" w:h="16839"/>
          <w:pgMar w:top="1440" w:right="1440" w:bottom="1440" w:left="1440" w:header="850" w:footer="964" w:gutter="0"/>
          <w:pgNumType w:fmt="decimal" w:start="1"/>
          <w:cols w:space="720" w:num="1"/>
        </w:sectPr>
      </w:pPr>
    </w:p>
    <w:p w14:paraId="57802F45">
      <w:pPr>
        <w:widowControl/>
        <w:kinsoku w:val="0"/>
        <w:autoSpaceDE w:val="0"/>
        <w:autoSpaceDN w:val="0"/>
        <w:adjustRightInd w:val="0"/>
        <w:snapToGrid w:val="0"/>
        <w:spacing w:line="360" w:lineRule="auto"/>
        <w:textAlignment w:val="baseline"/>
        <w:rPr>
          <w:rFonts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西安住房公积金管理中心</w:t>
      </w:r>
    </w:p>
    <w:p w14:paraId="480EE03D">
      <w:pPr>
        <w:widowControl/>
        <w:kinsoku w:val="0"/>
        <w:autoSpaceDE w:val="0"/>
        <w:autoSpaceDN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cs="宋体"/>
          <w:sz w:val="24"/>
          <w:szCs w:val="24"/>
        </w:rPr>
        <w:t>乙方：</w:t>
      </w:r>
      <w:r>
        <w:rPr>
          <w:rFonts w:hint="eastAsia" w:ascii="宋体" w:hAnsi="宋体" w:cs="宋体"/>
          <w:sz w:val="24"/>
          <w:szCs w:val="24"/>
          <w:u w:val="single"/>
        </w:rPr>
        <w:t xml:space="preserve">                  </w:t>
      </w:r>
      <w:r>
        <w:rPr>
          <w:rFonts w:hint="eastAsia"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p>
    <w:p w14:paraId="1C4BDBE5">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z w:val="24"/>
          <w:szCs w:val="24"/>
        </w:rPr>
        <w:t>鉴证方：</w:t>
      </w:r>
      <w:r>
        <w:rPr>
          <w:rFonts w:hint="eastAsia" w:ascii="宋体" w:hAnsi="宋体" w:cs="宋体"/>
          <w:sz w:val="24"/>
          <w:szCs w:val="24"/>
          <w:u w:val="single"/>
        </w:rPr>
        <w:t>陕西诠睿项目管理有限公司</w:t>
      </w:r>
    </w:p>
    <w:p w14:paraId="496C502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鉴证方就甲方所需服务，按照政府采购程序组织竞争性磋商采购，确定乙方为西安住房公积金管理中心</w:t>
      </w:r>
      <w:r>
        <w:rPr>
          <w:rFonts w:hint="eastAsia" w:hAnsi="宋体" w:cs="宋体"/>
          <w:sz w:val="24"/>
          <w:szCs w:val="24"/>
          <w:lang w:eastAsia="zh-CN"/>
        </w:rPr>
        <w:t>2025年度机房维保项目</w:t>
      </w:r>
      <w:r>
        <w:rPr>
          <w:rFonts w:hint="eastAsia" w:ascii="宋体" w:hAnsi="宋体" w:cs="宋体"/>
          <w:sz w:val="24"/>
          <w:szCs w:val="24"/>
        </w:rPr>
        <w:t>(项目编号：</w:t>
      </w:r>
      <w:r>
        <w:rPr>
          <w:rFonts w:hint="eastAsia" w:hAnsi="宋体" w:cs="宋体"/>
          <w:sz w:val="24"/>
          <w:szCs w:val="24"/>
          <w:lang w:val="en-US" w:eastAsia="zh-CN"/>
        </w:rPr>
        <w:t xml:space="preserve">   </w:t>
      </w:r>
      <w:r>
        <w:rPr>
          <w:rFonts w:hint="eastAsia" w:ascii="宋体" w:hAnsi="宋体" w:cs="宋体"/>
          <w:sz w:val="24"/>
          <w:szCs w:val="24"/>
        </w:rPr>
        <w:t>)成交供应商。依据《中华人民共和国政府采购法》、《中华人民共和国民法典》 以及本项目磋商文件、成交通知书，经甲、乙双方协商，鉴证方确认，达成如下合同条款。</w:t>
      </w:r>
    </w:p>
    <w:p w14:paraId="031F2B13">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一、合同标的物内容及数量</w:t>
      </w:r>
    </w:p>
    <w:p w14:paraId="14374217">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13CC1C45">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6B6397CB">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二、服务条件：</w:t>
      </w:r>
    </w:p>
    <w:p w14:paraId="75C7EF38">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 服务地点：西安住房公积金管理中心。</w:t>
      </w:r>
    </w:p>
    <w:p w14:paraId="15A17E3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 服务期：服务期自202</w:t>
      </w:r>
      <w:r>
        <w:rPr>
          <w:rFonts w:hint="eastAsia" w:hAnsi="宋体" w:cs="宋体"/>
          <w:sz w:val="24"/>
          <w:szCs w:val="24"/>
          <w:lang w:val="en-US" w:eastAsia="zh-CN"/>
        </w:rPr>
        <w:t>5</w:t>
      </w:r>
      <w:r>
        <w:rPr>
          <w:rFonts w:hint="eastAsia" w:ascii="宋体" w:hAnsi="宋体" w:cs="宋体"/>
          <w:sz w:val="24"/>
          <w:szCs w:val="24"/>
        </w:rPr>
        <w:t>年10月1日至202</w:t>
      </w:r>
      <w:r>
        <w:rPr>
          <w:rFonts w:hint="eastAsia" w:hAnsi="宋体" w:cs="宋体"/>
          <w:sz w:val="24"/>
          <w:szCs w:val="24"/>
          <w:lang w:val="en-US" w:eastAsia="zh-CN"/>
        </w:rPr>
        <w:t>6</w:t>
      </w:r>
      <w:r>
        <w:rPr>
          <w:rFonts w:hint="eastAsia" w:ascii="宋体" w:hAnsi="宋体" w:cs="宋体"/>
          <w:sz w:val="24"/>
          <w:szCs w:val="24"/>
        </w:rPr>
        <w:t>年9月30日。</w:t>
      </w:r>
    </w:p>
    <w:p w14:paraId="19B6F01F">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三、合同价款</w:t>
      </w:r>
    </w:p>
    <w:p w14:paraId="7775133A">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 合同总价款为人民币 (大写)</w:t>
      </w:r>
      <w:r>
        <w:rPr>
          <w:rFonts w:hint="eastAsia" w:ascii="宋体" w:hAnsi="宋体" w:cs="宋体"/>
          <w:sz w:val="24"/>
          <w:szCs w:val="24"/>
          <w:u w:val="single"/>
        </w:rPr>
        <w:t xml:space="preserve">            </w:t>
      </w:r>
      <w:r>
        <w:rPr>
          <w:rFonts w:hint="eastAsia" w:ascii="宋体" w:hAnsi="宋体" w:cs="宋体"/>
          <w:sz w:val="24"/>
          <w:szCs w:val="24"/>
        </w:rPr>
        <w:t>元整 ；￥</w:t>
      </w:r>
      <w:r>
        <w:rPr>
          <w:rFonts w:hint="eastAsia" w:ascii="宋体" w:hAnsi="宋体" w:cs="宋体"/>
          <w:sz w:val="24"/>
          <w:szCs w:val="24"/>
          <w:u w:val="single"/>
        </w:rPr>
        <w:t xml:space="preserve">        </w:t>
      </w:r>
      <w:r>
        <w:rPr>
          <w:rFonts w:hint="eastAsia" w:ascii="宋体" w:hAnsi="宋体" w:cs="宋体"/>
          <w:sz w:val="24"/>
          <w:szCs w:val="24"/>
        </w:rPr>
        <w:t>元，且此价款已包含了甲方订立、履行本协议所须支付的税项 (包含但不限于增值税及其附加税费) 。</w:t>
      </w:r>
    </w:p>
    <w:p w14:paraId="7623CC0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 合同总价包括：维保费和其他费用。</w:t>
      </w:r>
    </w:p>
    <w:p w14:paraId="3EF04C8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(三) 合同总价一次性包死，不受市场价格变化因素的影响。</w:t>
      </w:r>
    </w:p>
    <w:p w14:paraId="1987714A">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四、款项结算</w:t>
      </w:r>
    </w:p>
    <w:p w14:paraId="55E1A7E4">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u w:val="single"/>
        </w:rPr>
      </w:pPr>
      <w:r>
        <w:rPr>
          <w:rFonts w:hint="eastAsia" w:hAnsi="宋体" w:cs="宋体"/>
          <w:sz w:val="24"/>
          <w:szCs w:val="24"/>
          <w:lang w:val="en-US" w:eastAsia="zh-CN"/>
        </w:rPr>
        <w:t>（一）</w:t>
      </w:r>
      <w:r>
        <w:rPr>
          <w:rFonts w:hint="eastAsia" w:ascii="宋体" w:hAnsi="宋体" w:cs="宋体"/>
          <w:sz w:val="24"/>
          <w:szCs w:val="24"/>
        </w:rPr>
        <w:t>付款条件说明：</w:t>
      </w:r>
      <w:r>
        <w:rPr>
          <w:rFonts w:hint="eastAsia" w:hAnsi="宋体" w:cs="宋体"/>
          <w:sz w:val="24"/>
          <w:szCs w:val="24"/>
          <w:u w:val="single"/>
          <w:lang w:val="en-US" w:eastAsia="zh-CN"/>
        </w:rPr>
        <w:t xml:space="preserve">       </w:t>
      </w:r>
      <w:r>
        <w:rPr>
          <w:rFonts w:hint="eastAsia" w:ascii="宋体" w:hAnsi="宋体" w:cs="宋体"/>
          <w:sz w:val="24"/>
          <w:szCs w:val="24"/>
          <w:u w:val="single"/>
        </w:rPr>
        <w:t> </w:t>
      </w:r>
    </w:p>
    <w:p w14:paraId="6E82B89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hAnsi="宋体" w:cs="宋体"/>
          <w:sz w:val="24"/>
          <w:szCs w:val="24"/>
          <w:lang w:val="en-US" w:eastAsia="zh-CN"/>
        </w:rPr>
        <w:t xml:space="preserve"> </w:t>
      </w:r>
      <w:r>
        <w:rPr>
          <w:rFonts w:hint="eastAsia" w:ascii="宋体" w:hAnsi="宋体" w:cs="宋体"/>
          <w:sz w:val="24"/>
          <w:szCs w:val="24"/>
        </w:rPr>
        <w:t>(二) 支付方式：银行转账。</w:t>
      </w:r>
    </w:p>
    <w:p w14:paraId="1B3E6385">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(三) 结算方式：验收合格后填写政府采购项目验收单 (一式伍份) 、发票 (按合同总价直开甲方)，乙方持成交通知书、服务合同、发票、政府采购项目验收单，与甲方进行结算。</w:t>
      </w:r>
    </w:p>
    <w:p w14:paraId="209591F9">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五、双方的权利和义务</w:t>
      </w:r>
    </w:p>
    <w:p w14:paraId="08452E3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 甲方的权利和义务</w:t>
      </w:r>
    </w:p>
    <w:p w14:paraId="04C6D25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1、在乙方进行现场维护时，甲方应在维护地点附近为乙方人员提供贮物空间，为乙方维保工作提供便利。</w:t>
      </w:r>
    </w:p>
    <w:p w14:paraId="222294F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2、在甲方安全规定允许的前提下，为乙方的人员进入维护现场提供方便。</w:t>
      </w:r>
    </w:p>
    <w:p w14:paraId="7B0B1ACF">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3、在条件允许的情况下，甲方可按照乙方的指导进行非现场维护操作。</w:t>
      </w:r>
    </w:p>
    <w:p w14:paraId="546C6252">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4、甲方及时将本合同下维保范围内出现的故障情况通知乙方，乙方负责做好故障有关资料的记录工作。</w:t>
      </w:r>
    </w:p>
    <w:p w14:paraId="2F48736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5、甲方对乙方工作人员在甲方现场的人身及财产的安全不负责任，除非损害是甲方故意造成的。</w:t>
      </w:r>
    </w:p>
    <w:p w14:paraId="0465DB2B">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6、应乙方维保要求，甲方需提供所需维保服务的所有设备的产品型号、序列号、配置、购买时间、安装地点和设备用途等信息。</w:t>
      </w:r>
    </w:p>
    <w:p w14:paraId="5DA330F9">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7、甲方有权对乙方工程师的工作态度、技术水平进行监督和评判并提出相应的要求，乙方也会由独立的服务质量监督人员对甲方予以不定期的回访。</w:t>
      </w:r>
    </w:p>
    <w:p w14:paraId="7C29E6D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8、未经甲方书面同意，乙方不得将本合同部分或全部技术服务工作转让给第三人承担，但不包括转让给维护产品的原厂商进行服务。甲方不对乙方将本合同部分或者全部服务工作转让给第三人所产生的费用负责。</w:t>
      </w:r>
    </w:p>
    <w:p w14:paraId="01C463F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9、甲方负责提供故障发生前后相关的系统或设备资料、数据和原始记录。</w:t>
      </w:r>
    </w:p>
    <w:p w14:paraId="17804D93">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 乙方的权利和义务</w:t>
      </w:r>
    </w:p>
    <w:p w14:paraId="6D82DF59">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1、乙方确保提供维保服务的设备能够稳定安全的运行。保证备件和备机的技术指标先进、质量性能可靠、进货渠道正常，配置合理，全面满足竞争性磋商文件要求。</w:t>
      </w:r>
    </w:p>
    <w:p w14:paraId="3AC93B0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 按照合同要求在规定时间内提供专业化技术人员在甲方现场驻守，确保系统正常运行及机房安全。当机房内任何设备出现故障时，乙方技术人员能够及时发现，并及时通知甲方工作人员及设备维保公司。</w:t>
      </w:r>
    </w:p>
    <w:p w14:paraId="73BB1E8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3、乙方为甲方提供定期巡检，做好预防性维护。</w:t>
      </w:r>
    </w:p>
    <w:p w14:paraId="41492187">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4、乙方进入甲方机房，必须持有甲方签发的通行证，并由甲方人员陪同，同时遵守机房的各种规定。</w:t>
      </w:r>
    </w:p>
    <w:p w14:paraId="0022E5B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5、乙方在甲方机房操作期间必须由甲方人员进行现场监督，所进行的操作必须经过甲方同意；工作结束后，需经甲乙双方现场人员检查系统，书面确认操作内容和操作达到目的，且系统运行正常后方可离开现场。</w:t>
      </w:r>
    </w:p>
    <w:p w14:paraId="0B59C638">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6、乙方保证在甲方现场的工作人员严格按照甲方现场管理要求和工作纪律行事。</w:t>
      </w:r>
    </w:p>
    <w:p w14:paraId="4A49960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7、因乙方技术问题或维护问题造成甲方的硬件受到损坏，乙方应负责赔偿甲方因此所遭受的全部损失。</w:t>
      </w:r>
    </w:p>
    <w:p w14:paraId="708B67C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8、乙方在接到甲方紧急事故报告后，必须赶乘最快交通工具到达现场。如因乙方原因导致维修技术人员未能按约定按时到达进行处理，由此对甲方业务系统造成影响，乙方应承担相应责任，并按每延误一 天乙方向甲方支付技术服务费总金额【1％】即为人民币(大写)</w:t>
      </w:r>
      <w:r>
        <w:rPr>
          <w:rFonts w:hint="eastAsia" w:ascii="宋体" w:hAnsi="宋体" w:cs="宋体"/>
          <w:sz w:val="24"/>
          <w:szCs w:val="24"/>
          <w:u w:val="single"/>
        </w:rPr>
        <w:t xml:space="preserve">   </w:t>
      </w:r>
      <w:r>
        <w:rPr>
          <w:rFonts w:hint="eastAsia" w:ascii="宋体" w:hAnsi="宋体" w:cs="宋体"/>
          <w:sz w:val="24"/>
          <w:szCs w:val="24"/>
        </w:rPr>
        <w:t>元整, (小写) ￥</w:t>
      </w:r>
      <w:r>
        <w:rPr>
          <w:rFonts w:hint="eastAsia" w:ascii="宋体" w:hAnsi="宋体" w:cs="宋体"/>
          <w:sz w:val="24"/>
          <w:szCs w:val="24"/>
          <w:u w:val="single"/>
        </w:rPr>
        <w:t xml:space="preserve">  </w:t>
      </w:r>
      <w:r>
        <w:rPr>
          <w:rFonts w:hint="eastAsia" w:hAnsi="宋体" w:cs="宋体"/>
          <w:sz w:val="24"/>
          <w:szCs w:val="24"/>
          <w:u w:val="single"/>
          <w:lang w:val="en-US" w:eastAsia="zh-CN"/>
        </w:rPr>
        <w:t xml:space="preserve">   </w:t>
      </w:r>
      <w:r>
        <w:rPr>
          <w:rFonts w:hint="eastAsia" w:ascii="宋体" w:hAnsi="宋体" w:cs="宋体"/>
          <w:sz w:val="24"/>
          <w:szCs w:val="24"/>
        </w:rPr>
        <w:t>元的违约金。</w:t>
      </w:r>
    </w:p>
    <w:p w14:paraId="71A86594">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9、乙方应按甲方要求如期向甲方交付相关文档，如定期的巡检报告服务季度报告、现场服务单等。</w:t>
      </w:r>
    </w:p>
    <w:p w14:paraId="3EDDB47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10、乙方在服务过程中发现非本合同服务范围内的软硬件问题导致系统故障，应及时向甲方汇报，在获得甲方的许可和费用确认后，应向甲方提供不低于本合同约定服务范围内软硬件的维保服务。</w:t>
      </w:r>
    </w:p>
    <w:p w14:paraId="36149B9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11、乙方应当保证，依本合同为甲方提供的技术服务过程和其为甲方提供的服务成果不侵犯任何第三人的合法权益。如果有人提出法律诉讼或启动行政程序 (合称“侵权指控”) ，声称甲方使用的技术服务成果侵犯了其知识产权，乙方同意赔偿甲方就此所承担的所有费用和给甲方造成的损失，包括但不限于上述侵权指控中所产生的一切诉讼费用、合理的律师费用、和解金额或终审判决中规定的赔偿金额等。</w:t>
      </w:r>
    </w:p>
    <w:p w14:paraId="050341C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如果在侵权指控的审理过程中有关法院或行政机关禁止甲方继续使用技术服务成果的部分或全部，乙方应当采取以下措施之一避免甲方损失的扩大，同时应对甲方造成的损失给予全额赔偿：</w:t>
      </w:r>
    </w:p>
    <w:p w14:paraId="36DD055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 使甲方重新获得使用上述技术服务成果的权利；</w:t>
      </w:r>
    </w:p>
    <w:p w14:paraId="792BA6E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 更换或改造上述技术服务成果，使甲方不受上述禁令限制继续使用技术服务成果。</w:t>
      </w:r>
    </w:p>
    <w:p w14:paraId="77EB5132">
      <w:pPr>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rPr>
        <w:t>12、乙方为履行本合同约定义务，所需更换的备件的运输及运输费用由乙方负责，运杂费已包含在技术服务费总价内，运杂费包括但不限于从货物供应地点所含的运输费、装卸费、仓储费、保险费等</w:t>
      </w:r>
      <w:r>
        <w:rPr>
          <w:rFonts w:hint="eastAsia" w:ascii="宋体" w:hAnsi="宋体" w:cs="宋体"/>
          <w:sz w:val="24"/>
          <w:szCs w:val="24"/>
          <w:lang w:eastAsia="zh-CN"/>
        </w:rPr>
        <w:t>。</w:t>
      </w:r>
    </w:p>
    <w:p w14:paraId="00F3BEE3">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六、质量保证</w:t>
      </w:r>
    </w:p>
    <w:p w14:paraId="178309E7">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乙方所供服务必须执行下列条款：</w:t>
      </w:r>
    </w:p>
    <w:p w14:paraId="23FEE695">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1、乙方维保方案和方式科学、可行，人员配置合理，全面满足要求。</w:t>
      </w:r>
    </w:p>
    <w:p w14:paraId="4370850B">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2、符合国家有关服务规范要求，确保各项</w:t>
      </w:r>
      <w:r>
        <w:rPr>
          <w:rFonts w:hint="eastAsia" w:hAnsi="宋体" w:cs="宋体"/>
          <w:sz w:val="24"/>
          <w:szCs w:val="24"/>
          <w:lang w:val="en-US" w:eastAsia="zh-CN"/>
        </w:rPr>
        <w:t>内容达到</w:t>
      </w:r>
      <w:r>
        <w:rPr>
          <w:rFonts w:hint="eastAsia" w:ascii="宋体" w:hAnsi="宋体" w:cs="宋体"/>
          <w:sz w:val="24"/>
          <w:szCs w:val="24"/>
        </w:rPr>
        <w:t>竞争性磋商文件第三章磋商项目技术、服务、商务及其他要求。</w:t>
      </w:r>
    </w:p>
    <w:p w14:paraId="4CFB3532">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3、乙方提供的服务，若发生侵权而产生的一切后果，由乙方负责。甲方保留索赔权力。</w:t>
      </w:r>
    </w:p>
    <w:p w14:paraId="5CC758B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4、乙方提供维保技术服务期间，保证甲方设备、网络、应用系统及数据的安全，并对甲方的所有相关数据进行保密，不得外泄。在服务周期内，维保项目内的软件 (软件能随时升级) 、设备和零配件在维护过程中所产生的费用，全部由乙方承担，甲方不承担任何费用。</w:t>
      </w:r>
    </w:p>
    <w:p w14:paraId="0362CBB5">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5、本合同签订后，乙方提供一台 H3C10508 核心交换机作为备机，备机存放在甲方机房。对易损部件按照1:1的比列提供额外备件。</w:t>
      </w:r>
    </w:p>
    <w:p w14:paraId="1C1C0F7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6、乙方保证对第三章 磋商项目技术、服务、商务及其他要求”中的服务清单内的软、硬件等系统全年7*24 小时安全、稳定、高效运行。对于甲方系统出现的任何故障，乙方接到甲方通过书面通知、电话、信函、传真、电子邮件等任何一种方式提出的故障通知后，半小时内做出响应，三小时内排除故障，如更换配件无效、需送修故障服务，则要求在接下来四小时内提供备机并按照采购单位网络环境要求完成服务调试(备机存放地西安)，恢复系统运行。</w:t>
      </w:r>
    </w:p>
    <w:p w14:paraId="1E23AA1F">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7、乙方应在接到甲方故障通知后【12】小时内，完成故障修复工作，并经甲方验收确认。甲方工作人员在验收单上签署的验收合格时间为乙方实际完成维保技术服务的时间。</w:t>
      </w:r>
    </w:p>
    <w:p w14:paraId="1C489B15">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8、乙方应建立完善的服务受理记录，并可由甲方随时进行纸质或电子化查阅，乙方的服务受理记录与甲方工作人员签署的技术服务验收合格的验收单不符的，以验收单为准。</w:t>
      </w:r>
    </w:p>
    <w:p w14:paraId="5B0880E7">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9、乙方应具备备件更换和提供备机的服务能力，提供服务期间，因甲方设备部件损坏需要更换备件、配件的，更换周期不得超过 5 个工作日，更换的备件、配件必须是原厂全新的，并对备件、配件提供自更换之日起至少一年的质保期，且乙方对所有服务设备的全部故障件的维修、更换、配件的运输等均是免费的。所有更换的备件均为与原设备或模块的型号相同，或各项性能规格不低于原有设备或模块的备件。所有因乙方更换的备件问题引发的故障或造成的损失均由乙方承担全部责任。乙方在为故障设备更换备件、配件期间，应自行向甲方提供备机，保证甲方系统及硬件设备的正常运行，不因备件、配件的更换影响甲方系统及设备的运行。</w:t>
      </w:r>
    </w:p>
    <w:p w14:paraId="19C8E62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10、乙方必须保证甲方的交换机、防火墙等系统数据安全，做到数据“零丢失”。</w:t>
      </w:r>
    </w:p>
    <w:p w14:paraId="0352A91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11、所有维保项目依据设备维护要求，按照每日、每周、季度、半年和年度维护的不同需求进行维护，并向甲方提供书面维护报告。甲方对乙方进行季度考核和年度考核，对未达到服务标准的甲方将酌情扣除维护费，并不得竞标下年度维保。</w:t>
      </w:r>
    </w:p>
    <w:p w14:paraId="3D86F999">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12、网络安全驻场工程师，按照《网络安全法》等相关规定，协助甲方做好安全防护工作。</w:t>
      </w:r>
    </w:p>
    <w:p w14:paraId="2E804B0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13、乙方对于系统故障处理应有详细的报告记录，包含故障原因、响应时间、解决方案以及合理建议等。</w:t>
      </w:r>
    </w:p>
    <w:p w14:paraId="13B98EE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14、本合同约定的维保技术服务期届满后，乙方向甲方提供延续为期一个月的免费服务作为过渡，保证甲方硬件设备的平稳运行。</w:t>
      </w:r>
    </w:p>
    <w:p w14:paraId="1A2E7018">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15、防篡改软件购买原厂授权及服务，其他原厂服务在签订合同后，提供原厂服务证明。</w:t>
      </w:r>
    </w:p>
    <w:p w14:paraId="06F2E47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16、系统安全及杀毒软件包括：杀毒、系统补丁更新及桌面管控功能，支持600 客户端。</w:t>
      </w:r>
    </w:p>
    <w:p w14:paraId="45C8796A">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七、验收</w:t>
      </w:r>
    </w:p>
    <w:p w14:paraId="4B70582F">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 xml:space="preserve">(一) </w:t>
      </w:r>
      <w:r>
        <w:rPr>
          <w:rFonts w:hint="eastAsia" w:hAnsi="宋体" w:cs="宋体"/>
          <w:sz w:val="24"/>
          <w:szCs w:val="24"/>
          <w:lang w:val="en-US" w:eastAsia="zh-CN"/>
        </w:rPr>
        <w:t>服务期</w:t>
      </w:r>
      <w:r>
        <w:rPr>
          <w:rFonts w:hint="eastAsia" w:ascii="宋体" w:hAnsi="宋体" w:cs="宋体"/>
          <w:sz w:val="24"/>
          <w:szCs w:val="24"/>
        </w:rPr>
        <w:t>满后，甲方根据磋商文件和响应文件及相关文件，进行验收，确认服务标准和服务方式是否达到采购要求。</w:t>
      </w:r>
    </w:p>
    <w:p w14:paraId="038739CA">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(二)甲方组织乙方(必要时请有关专家)进行验收，验收合格后，填写政府采购项目验收单 (一式伍份)作为对项目的最终认可。</w:t>
      </w:r>
    </w:p>
    <w:p w14:paraId="7AD0053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(三)乙方向甲方提供维保服务过程中的所有资料,以便甲方人日后管理和维护。</w:t>
      </w:r>
    </w:p>
    <w:p w14:paraId="2A22C97A">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(四) 验收依据</w:t>
      </w:r>
    </w:p>
    <w:p w14:paraId="7D8D9989">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1、磋商文件、响应文件、澄清表 (函) ；</w:t>
      </w:r>
    </w:p>
    <w:p w14:paraId="23BCF46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2、本合同及附件文本；</w:t>
      </w:r>
    </w:p>
    <w:p w14:paraId="4FD682E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3、国家相应的标准、规范。</w:t>
      </w:r>
    </w:p>
    <w:p w14:paraId="6DE7F4D1">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八、违约责任</w:t>
      </w:r>
    </w:p>
    <w:p w14:paraId="47065755">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 按《民法典》中的相关条款执行。</w:t>
      </w:r>
    </w:p>
    <w:p w14:paraId="03F2DD73">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 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 及相关法律法规对乙方的违法行为进行相应的处罚。</w:t>
      </w:r>
    </w:p>
    <w:p w14:paraId="7E84F8C7">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(三) 在本合同履行过程中，双方因违约或造成对方经济、社会效益等损失的应当赔偿。</w:t>
      </w:r>
    </w:p>
    <w:p w14:paraId="0FAE2A1F">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(四) 对本合同任何一条款的违反均视为违约(因不可抗力导致的除外) ，违约方应采取有效措施在至多不超过【5】个工作日内纠正违约行为(自违约情形发生之日起算)，并赔偿守约方因其违约行为而遭受的损失。违约方在违约行为发生后【一个月内】拒不纠正违约行为，守约方有权单方解除合同，合同的解除不影响违约方应承担的违约责任。</w:t>
      </w:r>
    </w:p>
    <w:p w14:paraId="2589E5B2">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(五) 乙方在甲方提出设备故障时，未在本合同约定的响应时间内给予响应或未在约定的时间内派专业人员抵达甲方指定的用户现场提供技术服务的，每迟延一小时，应向甲方支付违约金【壹仟】元人民币。该款项甲方有权从应付乙方的服务费中直接扣除，不足部分，由乙方补足。</w:t>
      </w:r>
    </w:p>
    <w:p w14:paraId="4FE5A103">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(六)乙方未在本合同约定的服务时间内完成故障修复工作的，每迟延【 1 】小时，应向甲方支付违约金【壹仟】元人民币，该款项甲方有权从应付乙方的服务费中直接扣除。超过【12】小时的，甲方有权解除本合同，合同自甲方解除通知送时解除。甲方解除合同的，乙方除向甲方承担相应的违约责任外，已收取甲方的款项应全部退还甲方。</w:t>
      </w:r>
    </w:p>
    <w:p w14:paraId="0C2B0A62">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(七) 如因乙方提供维保技术服务导致甲方设备、系统损坏的，乙方除赔偿甲方全部经济损失(包括直接损失和间接损失)外，还应向甲方支付【伍万】元人民币的违约金，并退还甲方已支付的全部款项。</w:t>
      </w:r>
    </w:p>
    <w:p w14:paraId="0549C682">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八)乙方未按本合同约定的时间或条件更换故障设备的备件或配件的，或更换的备件或配件经测试验收不合格，又未在甲方指定的时间内负责更换或测试的，乙方应向甲方支付【伍万】元人民币违约金，同时甲方有权单方解除本合同，本合同自甲方解除通知送达时解除；乙方在更换故障设备更换备件、配件期间，未自行向甲方提供备机，导致甲方系统及硬件设备无法正常运行的，乙方应向甲方支付【伍万】元人民币违约金，给甲方造成损失的，还应赔偿甲方的损失，同时甲方有权单方解除本合同，本合同自甲方解除通知送达时解除。</w:t>
      </w:r>
    </w:p>
    <w:p w14:paraId="65CC1A16">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(九)乙方把甲方数据、软件、用户名、密码、系统结构、网络配置泄露给任何第三方的，应向甲方支付【伍万】元的违约金，给甲方造成损失的，还应赔偿给甲方造成的损失。</w:t>
      </w:r>
    </w:p>
    <w:p w14:paraId="00307808">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十)如果甲方因在乙方授权范围内使用乙方提供的软件、文件、资料等，而遭到的第三方就侵犯专利、商标、工业设计或其他知识产权而提出的索赔和诉讼，由乙方承担全部法律后果，如因该等情形导致甲方损失的，乙方应给予甲方全额赔偿。</w:t>
      </w:r>
    </w:p>
    <w:p w14:paraId="05F4C05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(十一)若乙方未完全履行本合同所约定的义务，并在接到甲方书面通知30日内仍未予以纠正时，甲方有权单方解除本合同，本合同自甲方解除通知送达之日解除。乙方在接到甲方解除通知后 30 日内须以【转账或支票】的方式退还甲方已支付的全部技术服务费用，甲方未支付的技术服务费不再支付。</w:t>
      </w:r>
    </w:p>
    <w:p w14:paraId="424A0696">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(十二)一方违反本合同规定，给另一方造成经济损失的，除承担上述违约责任外，违约方还应承担赔偿责任。</w:t>
      </w:r>
    </w:p>
    <w:p w14:paraId="712DAD94">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九、保密条款</w:t>
      </w:r>
    </w:p>
    <w:p w14:paraId="5E33B03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0B689732">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 甲方有义务保护乙方的知识产权，未经乙方同意，不得将乙方交付的具有知识产权性质的成果文件、资料向第三方转让或用于本合同以外的项目。如发生以上情况，乙方有权索赔，但甲方依据相关法 定职责对外公开的除外。</w:t>
      </w:r>
    </w:p>
    <w:p w14:paraId="7EBFF219">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(三) 本合同的保密信息包括所有商业秘密、技术秘密、通信或与该产品相关的其他信息，无论是书面的、口头的、图形的、电磁的或其它任何形式的信息，包括但不限于：数据、模型、样品、草案、技术、方法、仪器设备和其它信息。</w:t>
      </w:r>
    </w:p>
    <w:p w14:paraId="45516080">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(四) 乙方应当按照甲方的要求采取有效的方法对该保密信息进行保密，所需费用由乙方承担。</w:t>
      </w:r>
    </w:p>
    <w:p w14:paraId="3F2F82D3">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(五) 乙方对甲方的数据、软件、用户名、密码、系统结构、网络配置等不得泄露给任何第三方，如有违反，按违约处理。</w:t>
      </w:r>
    </w:p>
    <w:p w14:paraId="0992F7B6">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(六) 保密期限：本合同保密期限为永久保密。</w:t>
      </w:r>
    </w:p>
    <w:p w14:paraId="2B864F6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(七) 本条款为独立条款，本合同的无效、变更、解除和终止均不影响本条款的效力。</w:t>
      </w:r>
    </w:p>
    <w:p w14:paraId="69479470">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十、争议解决</w:t>
      </w:r>
    </w:p>
    <w:p w14:paraId="22E99735">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 本合同在履行过程中发生的争议，由甲、乙双方当事人协商解决，协商不成的按下列第</w:t>
      </w:r>
      <w:r>
        <w:rPr>
          <w:rFonts w:hint="eastAsia" w:ascii="宋体" w:hAnsi="宋体" w:cs="宋体"/>
          <w:sz w:val="24"/>
          <w:szCs w:val="24"/>
          <w:u w:val="single"/>
        </w:rPr>
        <w:t xml:space="preserve">  1  </w:t>
      </w:r>
      <w:r>
        <w:rPr>
          <w:rFonts w:hint="eastAsia" w:ascii="宋体" w:hAnsi="宋体" w:cs="宋体"/>
          <w:sz w:val="24"/>
          <w:szCs w:val="24"/>
        </w:rPr>
        <w:t>种</w:t>
      </w:r>
    </w:p>
    <w:p w14:paraId="47B0E90F">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方式解决：</w:t>
      </w:r>
    </w:p>
    <w:p w14:paraId="11DB0C04">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1、提交西安仲裁委员会仲裁；</w:t>
      </w:r>
    </w:p>
    <w:p w14:paraId="4B012C47">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2、依法向甲方所在地人民法院起诉。</w:t>
      </w:r>
    </w:p>
    <w:p w14:paraId="5930A4C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 本条款为独立条款，本合同的无效、变更、解除和终止均不影响本条款的效力。</w:t>
      </w:r>
    </w:p>
    <w:p w14:paraId="39317450">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十一、合同变更</w:t>
      </w:r>
    </w:p>
    <w:p w14:paraId="7DA7EE37">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 。</w:t>
      </w:r>
    </w:p>
    <w:p w14:paraId="64051474">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十二、合同生效</w:t>
      </w:r>
    </w:p>
    <w:p w14:paraId="0354410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1、本合同自签订之日起生效。</w:t>
      </w:r>
    </w:p>
    <w:p w14:paraId="297112F6">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2、本合同一式捌份，甲方持贰份，乙方持贰份，鉴证方持壹份，西安市财政局政府采购管理处备案叁份，本合同甲、乙、鉴证各方签字盖章后生效，合同执行完毕后，自动失效 (合同的服务承诺则长期有效) 。</w:t>
      </w:r>
    </w:p>
    <w:p w14:paraId="2D38C74B">
      <w:pPr>
        <w:widowControl/>
        <w:kinsoku w:val="0"/>
        <w:autoSpaceDE w:val="0"/>
        <w:autoSpaceDN w:val="0"/>
        <w:adjustRightInd w:val="0"/>
        <w:snapToGrid w:val="0"/>
        <w:spacing w:line="360" w:lineRule="auto"/>
        <w:textAlignment w:val="baseline"/>
        <w:rPr>
          <w:rFonts w:hint="eastAsia" w:ascii="宋体" w:hAnsi="宋体" w:cs="宋体"/>
          <w:b/>
          <w:bCs/>
          <w:sz w:val="24"/>
          <w:szCs w:val="24"/>
        </w:rPr>
      </w:pPr>
      <w:r>
        <w:rPr>
          <w:rFonts w:hint="eastAsia" w:ascii="宋体" w:hAnsi="宋体" w:cs="宋体"/>
          <w:b/>
          <w:bCs/>
          <w:sz w:val="24"/>
          <w:szCs w:val="24"/>
        </w:rPr>
        <w:t>十三、其他事项</w:t>
      </w:r>
    </w:p>
    <w:p w14:paraId="3228F736">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(一)鉴证方作为采购代理机构对合同进行确认。</w:t>
      </w:r>
    </w:p>
    <w:p w14:paraId="2DE8863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(二)西安市财政局政府采购管理处在合同的履行期间以及履行期后，可以随时检查项目的执行情况，对采购标准、采购内容进行调查核实，并对发现的问题进行处理。</w:t>
      </w:r>
    </w:p>
    <w:p w14:paraId="1C70854D">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(三) 竞争性磋商文件、竞争性磋商响应文件、澄清表 (函)、成交通知书、合同附件均成为合同不可分割的部分。</w:t>
      </w:r>
    </w:p>
    <w:p w14:paraId="17F9871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rPr>
      </w:pPr>
      <w:r>
        <w:rPr>
          <w:rFonts w:hint="eastAsia" w:ascii="宋体" w:hAnsi="宋体" w:cs="宋体"/>
          <w:sz w:val="24"/>
          <w:szCs w:val="24"/>
        </w:rPr>
        <w:t>(四) 合同未尽事宜，由甲、乙双方协商并经鉴证方确认后签订政府采购补充合同，与原合同具有同等法律效力。</w:t>
      </w:r>
    </w:p>
    <w:p w14:paraId="1025F937">
      <w:pPr>
        <w:rPr>
          <w:rFonts w:hint="eastAsia"/>
        </w:rPr>
      </w:pPr>
      <w:r>
        <w:rPr>
          <w:rFonts w:hint="eastAsia"/>
        </w:rPr>
        <w:br w:type="page"/>
      </w:r>
    </w:p>
    <w:p w14:paraId="6E1AA6F2">
      <w:pPr>
        <w:widowControl/>
        <w:kinsoku w:val="0"/>
        <w:autoSpaceDE w:val="0"/>
        <w:autoSpaceDN w:val="0"/>
        <w:adjustRightInd w:val="0"/>
        <w:snapToGrid w:val="0"/>
        <w:spacing w:line="360" w:lineRule="auto"/>
        <w:jc w:val="center"/>
        <w:textAlignment w:val="baseline"/>
        <w:rPr>
          <w:rFonts w:hint="eastAsia" w:ascii="宋体" w:hAnsi="宋体" w:cs="宋体"/>
          <w:sz w:val="24"/>
          <w:szCs w:val="24"/>
        </w:rPr>
      </w:pPr>
      <w:r>
        <w:rPr>
          <w:rFonts w:hint="eastAsia" w:ascii="宋体" w:hAnsi="宋体" w:cs="宋体"/>
          <w:spacing w:val="15"/>
          <w:sz w:val="24"/>
          <w:szCs w:val="24"/>
        </w:rPr>
        <w:t>(此页为签章页</w:t>
      </w:r>
      <w:r>
        <w:rPr>
          <w:rFonts w:hint="eastAsia" w:ascii="宋体" w:hAnsi="宋体" w:cs="宋体"/>
          <w:spacing w:val="14"/>
          <w:sz w:val="24"/>
          <w:szCs w:val="24"/>
        </w:rPr>
        <w:t>)</w:t>
      </w:r>
    </w:p>
    <w:tbl>
      <w:tblPr>
        <w:tblStyle w:val="5"/>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81"/>
        <w:gridCol w:w="3079"/>
        <w:gridCol w:w="3682"/>
      </w:tblGrid>
      <w:tr w14:paraId="403AE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jc w:val="center"/>
        </w:trPr>
        <w:tc>
          <w:tcPr>
            <w:tcW w:w="3281" w:type="dxa"/>
            <w:noWrap w:val="0"/>
            <w:vAlign w:val="center"/>
          </w:tcPr>
          <w:p w14:paraId="441B06C7">
            <w:pPr>
              <w:widowControl/>
              <w:kinsoku w:val="0"/>
              <w:autoSpaceDE w:val="0"/>
              <w:autoSpaceDN w:val="0"/>
              <w:adjustRightInd w:val="0"/>
              <w:snapToGrid w:val="0"/>
              <w:spacing w:line="360" w:lineRule="auto"/>
              <w:jc w:val="center"/>
              <w:textAlignment w:val="baseline"/>
              <w:rPr>
                <w:rFonts w:hint="eastAsia" w:ascii="宋体" w:hAnsi="宋体" w:cs="宋体"/>
                <w:sz w:val="24"/>
                <w:szCs w:val="24"/>
              </w:rPr>
            </w:pPr>
            <w:r>
              <w:rPr>
                <w:rFonts w:hint="eastAsia" w:ascii="宋体" w:hAnsi="宋体" w:cs="宋体"/>
                <w:spacing w:val="-2"/>
                <w:sz w:val="24"/>
                <w:szCs w:val="24"/>
              </w:rPr>
              <w:t xml:space="preserve">甲  </w:t>
            </w:r>
            <w:r>
              <w:rPr>
                <w:rFonts w:hint="eastAsia" w:ascii="宋体" w:hAnsi="宋体" w:cs="宋体"/>
                <w:spacing w:val="-1"/>
                <w:sz w:val="24"/>
                <w:szCs w:val="24"/>
              </w:rPr>
              <w:t>方</w:t>
            </w:r>
          </w:p>
        </w:tc>
        <w:tc>
          <w:tcPr>
            <w:tcW w:w="3079" w:type="dxa"/>
            <w:noWrap w:val="0"/>
            <w:vAlign w:val="center"/>
          </w:tcPr>
          <w:p w14:paraId="0A31EB15">
            <w:pPr>
              <w:widowControl/>
              <w:kinsoku w:val="0"/>
              <w:autoSpaceDE w:val="0"/>
              <w:autoSpaceDN w:val="0"/>
              <w:adjustRightInd w:val="0"/>
              <w:snapToGrid w:val="0"/>
              <w:spacing w:line="360" w:lineRule="auto"/>
              <w:jc w:val="center"/>
              <w:textAlignment w:val="baseline"/>
              <w:rPr>
                <w:rFonts w:hint="eastAsia" w:ascii="宋体" w:hAnsi="宋体" w:cs="宋体"/>
                <w:sz w:val="24"/>
                <w:szCs w:val="24"/>
              </w:rPr>
            </w:pPr>
            <w:r>
              <w:rPr>
                <w:rFonts w:hint="eastAsia" w:ascii="宋体" w:hAnsi="宋体" w:cs="宋体"/>
                <w:sz w:val="24"/>
                <w:szCs w:val="24"/>
              </w:rPr>
              <w:t>乙  方</w:t>
            </w:r>
          </w:p>
        </w:tc>
        <w:tc>
          <w:tcPr>
            <w:tcW w:w="3682" w:type="dxa"/>
            <w:noWrap w:val="0"/>
            <w:vAlign w:val="center"/>
          </w:tcPr>
          <w:p w14:paraId="3A0AAF1E">
            <w:pPr>
              <w:widowControl/>
              <w:kinsoku w:val="0"/>
              <w:autoSpaceDE w:val="0"/>
              <w:autoSpaceDN w:val="0"/>
              <w:adjustRightInd w:val="0"/>
              <w:snapToGrid w:val="0"/>
              <w:spacing w:line="360" w:lineRule="auto"/>
              <w:jc w:val="center"/>
              <w:textAlignment w:val="baseline"/>
              <w:rPr>
                <w:rFonts w:hint="eastAsia" w:ascii="宋体" w:hAnsi="宋体" w:cs="宋体"/>
                <w:sz w:val="24"/>
                <w:szCs w:val="24"/>
              </w:rPr>
            </w:pPr>
            <w:r>
              <w:rPr>
                <w:rFonts w:hint="eastAsia" w:ascii="宋体" w:hAnsi="宋体" w:cs="宋体"/>
                <w:spacing w:val="7"/>
                <w:sz w:val="24"/>
                <w:szCs w:val="24"/>
              </w:rPr>
              <w:t>鉴</w:t>
            </w:r>
            <w:r>
              <w:rPr>
                <w:rFonts w:hint="eastAsia" w:ascii="宋体" w:hAnsi="宋体" w:cs="宋体"/>
                <w:spacing w:val="5"/>
                <w:sz w:val="24"/>
                <w:szCs w:val="24"/>
              </w:rPr>
              <w:t xml:space="preserve"> 证 方</w:t>
            </w:r>
          </w:p>
        </w:tc>
      </w:tr>
      <w:tr w14:paraId="21229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1" w:hRule="atLeast"/>
          <w:jc w:val="center"/>
        </w:trPr>
        <w:tc>
          <w:tcPr>
            <w:tcW w:w="3281" w:type="dxa"/>
            <w:noWrap w:val="0"/>
            <w:vAlign w:val="top"/>
          </w:tcPr>
          <w:p w14:paraId="6233D81B">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4D98BBAB">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016DEADB">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15"/>
                <w:sz w:val="24"/>
                <w:szCs w:val="24"/>
              </w:rPr>
              <w:t>西</w:t>
            </w:r>
            <w:r>
              <w:rPr>
                <w:rFonts w:hint="eastAsia" w:ascii="宋体" w:hAnsi="宋体" w:cs="宋体"/>
                <w:spacing w:val="8"/>
                <w:sz w:val="24"/>
                <w:szCs w:val="24"/>
              </w:rPr>
              <w:t>安住房公积金管理中心</w:t>
            </w:r>
          </w:p>
          <w:p w14:paraId="64477148">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077D3C68">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39D0832B">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9"/>
                <w:sz w:val="24"/>
                <w:szCs w:val="24"/>
              </w:rPr>
              <w:t>(</w:t>
            </w:r>
            <w:r>
              <w:rPr>
                <w:rFonts w:hint="eastAsia" w:ascii="宋体" w:hAnsi="宋体" w:cs="宋体"/>
                <w:spacing w:val="27"/>
                <w:sz w:val="24"/>
                <w:szCs w:val="24"/>
              </w:rPr>
              <w:t>盖章)</w:t>
            </w:r>
          </w:p>
        </w:tc>
        <w:tc>
          <w:tcPr>
            <w:tcW w:w="3079" w:type="dxa"/>
            <w:noWrap w:val="0"/>
            <w:vAlign w:val="top"/>
          </w:tcPr>
          <w:p w14:paraId="47211E5C">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2395BCBB">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675ECEB5">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4FFC868D">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57638F72">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254E2BC6">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9"/>
                <w:sz w:val="24"/>
                <w:szCs w:val="24"/>
              </w:rPr>
              <w:t>(</w:t>
            </w:r>
            <w:r>
              <w:rPr>
                <w:rFonts w:hint="eastAsia" w:ascii="宋体" w:hAnsi="宋体" w:cs="宋体"/>
                <w:spacing w:val="27"/>
                <w:sz w:val="24"/>
                <w:szCs w:val="24"/>
              </w:rPr>
              <w:t>盖章)</w:t>
            </w:r>
          </w:p>
        </w:tc>
        <w:tc>
          <w:tcPr>
            <w:tcW w:w="3682" w:type="dxa"/>
            <w:noWrap w:val="0"/>
            <w:vAlign w:val="top"/>
          </w:tcPr>
          <w:p w14:paraId="52C2AB90">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0B965A5B">
            <w:pPr>
              <w:widowControl/>
              <w:kinsoku w:val="0"/>
              <w:autoSpaceDE w:val="0"/>
              <w:autoSpaceDN w:val="0"/>
              <w:adjustRightInd w:val="0"/>
              <w:snapToGrid w:val="0"/>
              <w:spacing w:line="360" w:lineRule="auto"/>
              <w:textAlignment w:val="baseline"/>
              <w:rPr>
                <w:rFonts w:hint="eastAsia" w:ascii="宋体" w:hAnsi="宋体" w:cs="宋体"/>
                <w:sz w:val="24"/>
                <w:szCs w:val="24"/>
              </w:rPr>
            </w:pPr>
          </w:p>
          <w:p w14:paraId="091CA544">
            <w:pPr>
              <w:widowControl/>
              <w:kinsoku w:val="0"/>
              <w:autoSpaceDE w:val="0"/>
              <w:autoSpaceDN w:val="0"/>
              <w:adjustRightInd w:val="0"/>
              <w:snapToGrid w:val="0"/>
              <w:spacing w:line="360" w:lineRule="auto"/>
              <w:textAlignment w:val="baseline"/>
              <w:rPr>
                <w:rFonts w:hint="eastAsia" w:ascii="宋体" w:hAnsi="宋体" w:cs="宋体"/>
                <w:spacing w:val="10"/>
                <w:sz w:val="24"/>
                <w:szCs w:val="24"/>
              </w:rPr>
            </w:pPr>
            <w:r>
              <w:rPr>
                <w:rFonts w:hint="eastAsia" w:ascii="宋体" w:hAnsi="宋体" w:cs="宋体"/>
                <w:spacing w:val="10"/>
                <w:sz w:val="24"/>
                <w:szCs w:val="24"/>
              </w:rPr>
              <w:t>陕西诠睿项目管理有限公司</w:t>
            </w:r>
          </w:p>
          <w:p w14:paraId="57AA871D">
            <w:pPr>
              <w:widowControl/>
              <w:kinsoku w:val="0"/>
              <w:autoSpaceDE w:val="0"/>
              <w:autoSpaceDN w:val="0"/>
              <w:adjustRightInd w:val="0"/>
              <w:snapToGrid w:val="0"/>
              <w:spacing w:line="360" w:lineRule="auto"/>
              <w:textAlignment w:val="baseline"/>
              <w:rPr>
                <w:rFonts w:hint="eastAsia" w:ascii="宋体" w:hAnsi="宋体" w:cs="宋体"/>
                <w:spacing w:val="10"/>
                <w:sz w:val="24"/>
                <w:szCs w:val="24"/>
              </w:rPr>
            </w:pPr>
          </w:p>
          <w:p w14:paraId="3B6C34CC">
            <w:pPr>
              <w:widowControl/>
              <w:kinsoku w:val="0"/>
              <w:autoSpaceDE w:val="0"/>
              <w:autoSpaceDN w:val="0"/>
              <w:adjustRightInd w:val="0"/>
              <w:snapToGrid w:val="0"/>
              <w:spacing w:line="360" w:lineRule="auto"/>
              <w:textAlignment w:val="baseline"/>
              <w:rPr>
                <w:rFonts w:hint="eastAsia" w:ascii="宋体" w:hAnsi="宋体" w:cs="宋体"/>
                <w:spacing w:val="10"/>
                <w:sz w:val="24"/>
                <w:szCs w:val="24"/>
              </w:rPr>
            </w:pPr>
          </w:p>
          <w:p w14:paraId="67D1B5AE">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9"/>
                <w:sz w:val="24"/>
                <w:szCs w:val="24"/>
              </w:rPr>
              <w:t>(</w:t>
            </w:r>
            <w:r>
              <w:rPr>
                <w:rFonts w:hint="eastAsia" w:ascii="宋体" w:hAnsi="宋体" w:cs="宋体"/>
                <w:spacing w:val="27"/>
                <w:sz w:val="24"/>
                <w:szCs w:val="24"/>
              </w:rPr>
              <w:t>盖章)</w:t>
            </w:r>
          </w:p>
        </w:tc>
      </w:tr>
      <w:tr w14:paraId="42057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3281" w:type="dxa"/>
            <w:noWrap w:val="0"/>
            <w:vAlign w:val="top"/>
          </w:tcPr>
          <w:p w14:paraId="7973F4D8">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
                <w:sz w:val="24"/>
                <w:szCs w:val="24"/>
              </w:rPr>
              <w:t>地址：</w:t>
            </w:r>
            <w:r>
              <w:rPr>
                <w:rFonts w:hint="eastAsia" w:ascii="宋体" w:hAnsi="宋体" w:cs="宋体"/>
                <w:spacing w:val="-1"/>
                <w:sz w:val="24"/>
                <w:szCs w:val="24"/>
              </w:rPr>
              <w:t>振兴路 137 号</w:t>
            </w:r>
          </w:p>
        </w:tc>
        <w:tc>
          <w:tcPr>
            <w:tcW w:w="3079" w:type="dxa"/>
            <w:noWrap w:val="0"/>
            <w:vAlign w:val="top"/>
          </w:tcPr>
          <w:p w14:paraId="5940DE5A">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3"/>
                <w:sz w:val="24"/>
                <w:szCs w:val="24"/>
              </w:rPr>
              <w:t>地址：</w:t>
            </w:r>
          </w:p>
        </w:tc>
        <w:tc>
          <w:tcPr>
            <w:tcW w:w="3682" w:type="dxa"/>
            <w:noWrap w:val="0"/>
            <w:vAlign w:val="top"/>
          </w:tcPr>
          <w:p w14:paraId="3524487B">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3"/>
                <w:sz w:val="24"/>
                <w:szCs w:val="24"/>
              </w:rPr>
              <w:t>地址：</w:t>
            </w:r>
          </w:p>
        </w:tc>
      </w:tr>
      <w:tr w14:paraId="7FF76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jc w:val="center"/>
        </w:trPr>
        <w:tc>
          <w:tcPr>
            <w:tcW w:w="3281" w:type="dxa"/>
            <w:noWrap w:val="0"/>
            <w:vAlign w:val="top"/>
          </w:tcPr>
          <w:p w14:paraId="246899A0">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
                <w:sz w:val="24"/>
                <w:szCs w:val="24"/>
              </w:rPr>
              <w:t>邮编：</w:t>
            </w:r>
          </w:p>
        </w:tc>
        <w:tc>
          <w:tcPr>
            <w:tcW w:w="3079" w:type="dxa"/>
            <w:noWrap w:val="0"/>
            <w:vAlign w:val="top"/>
          </w:tcPr>
          <w:p w14:paraId="0AA98D33">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4"/>
                <w:sz w:val="24"/>
                <w:szCs w:val="24"/>
              </w:rPr>
              <w:t>邮编：</w:t>
            </w:r>
          </w:p>
        </w:tc>
        <w:tc>
          <w:tcPr>
            <w:tcW w:w="3682" w:type="dxa"/>
            <w:noWrap w:val="0"/>
            <w:vAlign w:val="top"/>
          </w:tcPr>
          <w:p w14:paraId="2384C473">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
                <w:sz w:val="24"/>
                <w:szCs w:val="24"/>
              </w:rPr>
              <w:t>邮编：</w:t>
            </w:r>
          </w:p>
        </w:tc>
      </w:tr>
      <w:tr w14:paraId="55A1B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3281" w:type="dxa"/>
            <w:noWrap w:val="0"/>
            <w:vAlign w:val="top"/>
          </w:tcPr>
          <w:p w14:paraId="576534FE">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9"/>
                <w:sz w:val="24"/>
                <w:szCs w:val="24"/>
              </w:rPr>
              <w:t>法</w:t>
            </w:r>
            <w:r>
              <w:rPr>
                <w:rFonts w:hint="eastAsia" w:ascii="宋体" w:hAnsi="宋体" w:cs="宋体"/>
                <w:spacing w:val="6"/>
                <w:sz w:val="24"/>
                <w:szCs w:val="24"/>
              </w:rPr>
              <w:t>定代表人：</w:t>
            </w:r>
          </w:p>
        </w:tc>
        <w:tc>
          <w:tcPr>
            <w:tcW w:w="3079" w:type="dxa"/>
            <w:noWrap w:val="0"/>
            <w:vAlign w:val="top"/>
          </w:tcPr>
          <w:p w14:paraId="4C4B4D7D">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9"/>
                <w:sz w:val="24"/>
                <w:szCs w:val="24"/>
              </w:rPr>
              <w:t>法</w:t>
            </w:r>
            <w:r>
              <w:rPr>
                <w:rFonts w:hint="eastAsia" w:ascii="宋体" w:hAnsi="宋体" w:cs="宋体"/>
                <w:spacing w:val="6"/>
                <w:sz w:val="24"/>
                <w:szCs w:val="24"/>
              </w:rPr>
              <w:t>定代表人：</w:t>
            </w:r>
          </w:p>
        </w:tc>
        <w:tc>
          <w:tcPr>
            <w:tcW w:w="3682" w:type="dxa"/>
            <w:noWrap w:val="0"/>
            <w:vAlign w:val="top"/>
          </w:tcPr>
          <w:p w14:paraId="2BB6D7F1">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7"/>
                <w:sz w:val="24"/>
                <w:szCs w:val="24"/>
              </w:rPr>
              <w:t>项</w:t>
            </w:r>
            <w:r>
              <w:rPr>
                <w:rFonts w:hint="eastAsia" w:ascii="宋体" w:hAnsi="宋体" w:cs="宋体"/>
                <w:spacing w:val="6"/>
                <w:sz w:val="24"/>
                <w:szCs w:val="24"/>
              </w:rPr>
              <w:t>目负责人：</w:t>
            </w:r>
          </w:p>
        </w:tc>
      </w:tr>
      <w:tr w14:paraId="17663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jc w:val="center"/>
        </w:trPr>
        <w:tc>
          <w:tcPr>
            <w:tcW w:w="3281" w:type="dxa"/>
            <w:noWrap w:val="0"/>
            <w:vAlign w:val="top"/>
          </w:tcPr>
          <w:p w14:paraId="2BA4BF7C">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7"/>
                <w:sz w:val="24"/>
                <w:szCs w:val="24"/>
              </w:rPr>
              <w:t>被授权代表</w:t>
            </w:r>
            <w:r>
              <w:rPr>
                <w:rFonts w:hint="eastAsia" w:ascii="宋体" w:hAnsi="宋体" w:cs="宋体"/>
                <w:spacing w:val="5"/>
                <w:sz w:val="24"/>
                <w:szCs w:val="24"/>
              </w:rPr>
              <w:t>：</w:t>
            </w:r>
          </w:p>
        </w:tc>
        <w:tc>
          <w:tcPr>
            <w:tcW w:w="3079" w:type="dxa"/>
            <w:noWrap w:val="0"/>
            <w:vAlign w:val="top"/>
          </w:tcPr>
          <w:p w14:paraId="1C12602E">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7"/>
                <w:sz w:val="24"/>
                <w:szCs w:val="24"/>
              </w:rPr>
              <w:t>被授权代表</w:t>
            </w:r>
            <w:r>
              <w:rPr>
                <w:rFonts w:hint="eastAsia" w:ascii="宋体" w:hAnsi="宋体" w:cs="宋体"/>
                <w:spacing w:val="5"/>
                <w:sz w:val="24"/>
                <w:szCs w:val="24"/>
              </w:rPr>
              <w:t>：</w:t>
            </w:r>
          </w:p>
        </w:tc>
        <w:tc>
          <w:tcPr>
            <w:tcW w:w="3682" w:type="dxa"/>
            <w:noWrap w:val="0"/>
            <w:vAlign w:val="top"/>
          </w:tcPr>
          <w:p w14:paraId="602EF896">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7"/>
                <w:sz w:val="24"/>
                <w:szCs w:val="24"/>
              </w:rPr>
              <w:t>被授权代表</w:t>
            </w:r>
            <w:r>
              <w:rPr>
                <w:rFonts w:hint="eastAsia" w:ascii="宋体" w:hAnsi="宋体" w:cs="宋体"/>
                <w:spacing w:val="5"/>
                <w:sz w:val="24"/>
                <w:szCs w:val="24"/>
              </w:rPr>
              <w:t>：</w:t>
            </w:r>
          </w:p>
        </w:tc>
      </w:tr>
      <w:tr w14:paraId="12B88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3281" w:type="dxa"/>
            <w:noWrap w:val="0"/>
            <w:vAlign w:val="top"/>
          </w:tcPr>
          <w:p w14:paraId="38F5BC45">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5"/>
                <w:sz w:val="24"/>
                <w:szCs w:val="24"/>
              </w:rPr>
              <w:t>电话：</w:t>
            </w:r>
          </w:p>
        </w:tc>
        <w:tc>
          <w:tcPr>
            <w:tcW w:w="3079" w:type="dxa"/>
            <w:noWrap w:val="0"/>
            <w:vAlign w:val="top"/>
          </w:tcPr>
          <w:p w14:paraId="08073744">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5"/>
                <w:sz w:val="24"/>
                <w:szCs w:val="24"/>
              </w:rPr>
              <w:t>电话：</w:t>
            </w:r>
          </w:p>
        </w:tc>
        <w:tc>
          <w:tcPr>
            <w:tcW w:w="3682" w:type="dxa"/>
            <w:noWrap w:val="0"/>
            <w:vAlign w:val="top"/>
          </w:tcPr>
          <w:p w14:paraId="54BA4775">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5"/>
                <w:sz w:val="24"/>
                <w:szCs w:val="24"/>
              </w:rPr>
              <w:t>电话：</w:t>
            </w:r>
          </w:p>
        </w:tc>
      </w:tr>
      <w:tr w14:paraId="1E8DE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3281" w:type="dxa"/>
            <w:noWrap w:val="0"/>
            <w:vAlign w:val="top"/>
          </w:tcPr>
          <w:p w14:paraId="70CE4AB0">
            <w:pPr>
              <w:widowControl/>
              <w:kinsoku w:val="0"/>
              <w:autoSpaceDE w:val="0"/>
              <w:autoSpaceDN w:val="0"/>
              <w:adjustRightInd w:val="0"/>
              <w:snapToGrid w:val="0"/>
              <w:spacing w:line="360" w:lineRule="auto"/>
              <w:textAlignment w:val="baseline"/>
              <w:rPr>
                <w:rFonts w:hint="eastAsia" w:ascii="宋体" w:hAnsi="宋体" w:cs="宋体"/>
                <w:sz w:val="24"/>
                <w:szCs w:val="24"/>
              </w:rPr>
            </w:pPr>
          </w:p>
        </w:tc>
        <w:tc>
          <w:tcPr>
            <w:tcW w:w="3079" w:type="dxa"/>
            <w:noWrap w:val="0"/>
            <w:vAlign w:val="top"/>
          </w:tcPr>
          <w:p w14:paraId="3A29FC12">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8"/>
                <w:sz w:val="24"/>
                <w:szCs w:val="24"/>
              </w:rPr>
              <w:t>开</w:t>
            </w:r>
            <w:r>
              <w:rPr>
                <w:rFonts w:hint="eastAsia" w:ascii="宋体" w:hAnsi="宋体" w:cs="宋体"/>
                <w:spacing w:val="5"/>
                <w:sz w:val="24"/>
                <w:szCs w:val="24"/>
              </w:rPr>
              <w:t>户银行：</w:t>
            </w:r>
          </w:p>
        </w:tc>
        <w:tc>
          <w:tcPr>
            <w:tcW w:w="3682" w:type="dxa"/>
            <w:noWrap w:val="0"/>
            <w:vAlign w:val="top"/>
          </w:tcPr>
          <w:p w14:paraId="0E4CFA04">
            <w:pPr>
              <w:widowControl/>
              <w:kinsoku w:val="0"/>
              <w:autoSpaceDE w:val="0"/>
              <w:autoSpaceDN w:val="0"/>
              <w:adjustRightInd w:val="0"/>
              <w:snapToGrid w:val="0"/>
              <w:spacing w:line="360" w:lineRule="auto"/>
              <w:textAlignment w:val="baseline"/>
              <w:rPr>
                <w:rFonts w:hint="eastAsia" w:ascii="宋体" w:hAnsi="宋体" w:cs="宋体"/>
                <w:sz w:val="24"/>
                <w:szCs w:val="24"/>
              </w:rPr>
            </w:pPr>
          </w:p>
        </w:tc>
      </w:tr>
      <w:tr w14:paraId="4B543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3281" w:type="dxa"/>
            <w:noWrap w:val="0"/>
            <w:vAlign w:val="top"/>
          </w:tcPr>
          <w:p w14:paraId="10728B5A">
            <w:pPr>
              <w:widowControl/>
              <w:kinsoku w:val="0"/>
              <w:autoSpaceDE w:val="0"/>
              <w:autoSpaceDN w:val="0"/>
              <w:adjustRightInd w:val="0"/>
              <w:snapToGrid w:val="0"/>
              <w:spacing w:line="360" w:lineRule="auto"/>
              <w:textAlignment w:val="baseline"/>
              <w:rPr>
                <w:rFonts w:hint="eastAsia" w:ascii="宋体" w:hAnsi="宋体" w:cs="宋体"/>
                <w:sz w:val="24"/>
                <w:szCs w:val="24"/>
              </w:rPr>
            </w:pPr>
          </w:p>
        </w:tc>
        <w:tc>
          <w:tcPr>
            <w:tcW w:w="3079" w:type="dxa"/>
            <w:noWrap w:val="0"/>
            <w:vAlign w:val="top"/>
          </w:tcPr>
          <w:p w14:paraId="0F2B974A">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2"/>
                <w:sz w:val="24"/>
                <w:szCs w:val="24"/>
              </w:rPr>
              <w:t>账号：</w:t>
            </w:r>
          </w:p>
        </w:tc>
        <w:tc>
          <w:tcPr>
            <w:tcW w:w="3682" w:type="dxa"/>
            <w:noWrap w:val="0"/>
            <w:vAlign w:val="top"/>
          </w:tcPr>
          <w:p w14:paraId="542A9703">
            <w:pPr>
              <w:widowControl/>
              <w:kinsoku w:val="0"/>
              <w:autoSpaceDE w:val="0"/>
              <w:autoSpaceDN w:val="0"/>
              <w:adjustRightInd w:val="0"/>
              <w:snapToGrid w:val="0"/>
              <w:spacing w:line="360" w:lineRule="auto"/>
              <w:textAlignment w:val="baseline"/>
              <w:rPr>
                <w:rFonts w:hint="eastAsia" w:ascii="宋体" w:hAnsi="宋体" w:cs="宋体"/>
                <w:sz w:val="24"/>
                <w:szCs w:val="24"/>
              </w:rPr>
            </w:pPr>
          </w:p>
        </w:tc>
      </w:tr>
      <w:tr w14:paraId="62108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jc w:val="center"/>
        </w:trPr>
        <w:tc>
          <w:tcPr>
            <w:tcW w:w="3281" w:type="dxa"/>
            <w:noWrap w:val="0"/>
            <w:vAlign w:val="top"/>
          </w:tcPr>
          <w:p w14:paraId="39442F2B">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1"/>
                <w:sz w:val="24"/>
                <w:szCs w:val="24"/>
              </w:rPr>
              <w:t xml:space="preserve">日期：   </w:t>
            </w:r>
            <w:r>
              <w:rPr>
                <w:rFonts w:hint="eastAsia" w:ascii="宋体" w:hAnsi="宋体" w:cs="宋体"/>
                <w:sz w:val="24"/>
                <w:szCs w:val="24"/>
              </w:rPr>
              <w:t xml:space="preserve"> 年   月   日</w:t>
            </w:r>
          </w:p>
        </w:tc>
        <w:tc>
          <w:tcPr>
            <w:tcW w:w="3079" w:type="dxa"/>
            <w:noWrap w:val="0"/>
            <w:vAlign w:val="top"/>
          </w:tcPr>
          <w:p w14:paraId="0CB9143F">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1"/>
                <w:sz w:val="24"/>
                <w:szCs w:val="24"/>
              </w:rPr>
              <w:t xml:space="preserve">日期：   </w:t>
            </w:r>
            <w:r>
              <w:rPr>
                <w:rFonts w:hint="eastAsia" w:ascii="宋体" w:hAnsi="宋体" w:cs="宋体"/>
                <w:sz w:val="24"/>
                <w:szCs w:val="24"/>
              </w:rPr>
              <w:t xml:space="preserve"> 年   月   日</w:t>
            </w:r>
          </w:p>
        </w:tc>
        <w:tc>
          <w:tcPr>
            <w:tcW w:w="3682" w:type="dxa"/>
            <w:noWrap w:val="0"/>
            <w:vAlign w:val="top"/>
          </w:tcPr>
          <w:p w14:paraId="2E85D25E">
            <w:pPr>
              <w:widowControl/>
              <w:kinsoku w:val="0"/>
              <w:autoSpaceDE w:val="0"/>
              <w:autoSpaceDN w:val="0"/>
              <w:adjustRightInd w:val="0"/>
              <w:snapToGrid w:val="0"/>
              <w:spacing w:line="360" w:lineRule="auto"/>
              <w:textAlignment w:val="baseline"/>
              <w:rPr>
                <w:rFonts w:hint="eastAsia" w:ascii="宋体" w:hAnsi="宋体" w:cs="宋体"/>
                <w:sz w:val="24"/>
                <w:szCs w:val="24"/>
              </w:rPr>
            </w:pPr>
            <w:r>
              <w:rPr>
                <w:rFonts w:hint="eastAsia" w:ascii="宋体" w:hAnsi="宋体" w:cs="宋体"/>
                <w:spacing w:val="1"/>
                <w:sz w:val="24"/>
                <w:szCs w:val="24"/>
              </w:rPr>
              <w:t xml:space="preserve">日期：   年 </w:t>
            </w:r>
            <w:r>
              <w:rPr>
                <w:rFonts w:hint="eastAsia" w:ascii="宋体" w:hAnsi="宋体" w:cs="宋体"/>
                <w:sz w:val="24"/>
                <w:szCs w:val="24"/>
              </w:rPr>
              <w:t xml:space="preserve">   月      日</w:t>
            </w:r>
          </w:p>
        </w:tc>
      </w:tr>
    </w:tbl>
    <w:p w14:paraId="0E85C1F0">
      <w:pPr>
        <w:pStyle w:val="7"/>
        <w:numPr>
          <w:ilvl w:val="0"/>
          <w:numId w:val="0"/>
        </w:numPr>
        <w:jc w:val="center"/>
        <w:outlineLvl w:val="1"/>
        <w:rPr>
          <w:b/>
          <w:color w:val="000000" w:themeColor="text1"/>
          <w:sz w:val="36"/>
          <w:highlight w:val="none"/>
          <w14:textFill>
            <w14:solidFill>
              <w14:schemeClr w14:val="tx1"/>
            </w14:solidFill>
          </w14:textFill>
        </w:rPr>
      </w:pPr>
    </w:p>
    <w:p w14:paraId="38172E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4D91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543F3">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F543F3">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D433EC0"/>
    <w:rsid w:val="0D433EC0"/>
    <w:rsid w:val="5ED23901"/>
    <w:rsid w:val="61163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Default"/>
    <w:basedOn w:val="1"/>
    <w:qFormat/>
    <w:uiPriority w:val="0"/>
    <w:pPr>
      <w:autoSpaceDE w:val="0"/>
      <w:autoSpaceDN w:val="0"/>
      <w:adjustRightInd w:val="0"/>
      <w:jc w:val="left"/>
    </w:pPr>
    <w:rPr>
      <w:rFonts w:ascii="宋体" w:hAnsi="Calibri" w:eastAsia="宋体" w:cs="Times New Roman"/>
      <w:color w:val="0000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6255</Words>
  <Characters>6341</Characters>
  <Lines>0</Lines>
  <Paragraphs>0</Paragraphs>
  <TotalTime>3</TotalTime>
  <ScaleCrop>false</ScaleCrop>
  <LinksUpToDate>false</LinksUpToDate>
  <CharactersWithSpaces>6515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2024-06-20T03:53:00Z</dcterms:created>
  <dc:creator>爽爽</dc:creator>
  <cp:lastModifiedBy>花若怜°</cp:lastModifiedBy>
  <dcterms:modified xsi:type="dcterms:W3CDTF">2025-09-10T15:31:27Z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CE7F1845EAE446AFB34324BB56DF7B33_11</vt:lpwstr>
  </property>
  <property fmtid="{D5CDD505-2E9C-101B-9397-08002B2CF9AE}" pid="4" name="KSOTemplateDocerSaveRecord">
    <vt:lpwstr>eyJoZGlkIjoiMDRhMWMzNzRkMzI5NzQ4NTc5ODlhNjQzNWMyMjNkM2MiLCJ1c2VySWQiOiIyNTc2ODQ5MzkifQ==</vt:lpwstr>
  </property>
</Properties>
</file>