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3FF14E">
      <w:pPr>
        <w:adjustRightInd w:val="0"/>
        <w:snapToGrid w:val="0"/>
        <w:spacing w:line="360" w:lineRule="auto"/>
        <w:ind w:firstLine="643" w:firstLineChars="200"/>
        <w:jc w:val="center"/>
        <w:rPr>
          <w:rFonts w:hAnsi="宋体"/>
        </w:rPr>
      </w:pPr>
      <w:r>
        <w:rPr>
          <w:rFonts w:hint="eastAsia" w:ascii="黑体" w:hAnsi="黑体" w:eastAsia="黑体" w:cs="黑体"/>
          <w:b/>
          <w:bCs/>
          <w:sz w:val="32"/>
          <w:szCs w:val="32"/>
          <w:lang w:val="zh-CN"/>
        </w:rPr>
        <w:t>拟签订的合同</w:t>
      </w:r>
      <w:bookmarkStart w:id="0" w:name="_GoBack"/>
      <w:bookmarkEnd w:id="0"/>
      <w:r>
        <w:rPr>
          <w:rFonts w:hint="eastAsia" w:ascii="黑体" w:hAnsi="黑体" w:eastAsia="黑体" w:cs="黑体"/>
          <w:b/>
          <w:bCs/>
          <w:sz w:val="32"/>
          <w:szCs w:val="32"/>
          <w:lang w:val="zh-CN"/>
        </w:rPr>
        <w:t>条款文本</w:t>
      </w:r>
    </w:p>
    <w:p w14:paraId="518B60EB">
      <w:pPr>
        <w:adjustRightInd w:val="0"/>
        <w:snapToGrid w:val="0"/>
        <w:spacing w:line="360" w:lineRule="auto"/>
        <w:ind w:firstLine="422" w:firstLineChars="200"/>
        <w:rPr>
          <w:rFonts w:ascii="Times New Roman" w:hAnsi="宋体" w:eastAsia="宋体" w:cs="Times New Roman"/>
          <w:b/>
        </w:rPr>
      </w:pPr>
      <w:r>
        <w:rPr>
          <w:rFonts w:hint="eastAsia" w:ascii="Times New Roman" w:hAnsi="宋体" w:eastAsia="宋体" w:cs="Times New Roman"/>
          <w:b/>
        </w:rPr>
        <w:t xml:space="preserve"> （本格式条款供双方签订合同参考，采购人可根据项目的实际情况增加条款和内容）</w:t>
      </w:r>
    </w:p>
    <w:p w14:paraId="7A6660E5">
      <w:pPr>
        <w:autoSpaceDE w:val="0"/>
        <w:autoSpaceDN w:val="0"/>
        <w:adjustRightInd w:val="0"/>
        <w:snapToGrid w:val="0"/>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甲方（采购人）： </w:t>
      </w:r>
    </w:p>
    <w:p w14:paraId="0DA2D363">
      <w:pPr>
        <w:autoSpaceDE w:val="0"/>
        <w:autoSpaceDN w:val="0"/>
        <w:adjustRightInd w:val="0"/>
        <w:snapToGrid w:val="0"/>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乙方（成交供应商）： </w:t>
      </w:r>
    </w:p>
    <w:p w14:paraId="0C76BDD1">
      <w:pPr>
        <w:autoSpaceDE w:val="0"/>
        <w:autoSpaceDN w:val="0"/>
        <w:adjustRightInd w:val="0"/>
        <w:snapToGrid w:val="0"/>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u w:val="single"/>
        </w:rPr>
        <w:t>西安市再生水利用配置试点终期评估项目(项目编号：SXHC2025-225)</w:t>
      </w:r>
      <w:r>
        <w:rPr>
          <w:rFonts w:hint="eastAsia" w:ascii="仿宋_GB2312" w:hAnsi="仿宋_GB2312" w:eastAsia="仿宋_GB2312" w:cs="仿宋_GB2312"/>
          <w:bCs/>
          <w:sz w:val="28"/>
          <w:szCs w:val="28"/>
        </w:rPr>
        <w:t>，由陕西华采招标有限公司组织竞争性磋商，(以下简称“甲方”)确定（以下简称“乙方”）为该项目的成交供应商。</w:t>
      </w:r>
    </w:p>
    <w:p w14:paraId="57D253B6">
      <w:pPr>
        <w:autoSpaceDE w:val="0"/>
        <w:autoSpaceDN w:val="0"/>
        <w:adjustRightInd w:val="0"/>
        <w:snapToGrid w:val="0"/>
        <w:spacing w:line="360" w:lineRule="auto"/>
        <w:ind w:firstLine="560" w:firstLineChars="200"/>
        <w:rPr>
          <w:rFonts w:hint="eastAsia" w:ascii="仿宋_GB2312" w:hAnsi="仿宋_GB2312" w:eastAsia="仿宋_GB2312" w:cs="仿宋_GB2312"/>
          <w:bCs/>
          <w:color w:val="FF0000"/>
          <w:sz w:val="28"/>
          <w:szCs w:val="28"/>
        </w:rPr>
      </w:pPr>
      <w:r>
        <w:rPr>
          <w:rFonts w:hint="eastAsia" w:ascii="仿宋_GB2312" w:hAnsi="仿宋_GB2312" w:eastAsia="仿宋_GB2312" w:cs="仿宋_GB2312"/>
          <w:bCs/>
          <w:sz w:val="28"/>
          <w:szCs w:val="28"/>
        </w:rPr>
        <w:t>依据《中华人民共和国民法典》和《中华人民共和国政府采购法》之规定，经双方在平等、自愿、互利的基础上，签订本合同，共同信守。</w:t>
      </w:r>
    </w:p>
    <w:p w14:paraId="37578BFA">
      <w:pPr>
        <w:numPr>
          <w:ilvl w:val="0"/>
          <w:numId w:val="1"/>
        </w:numPr>
        <w:adjustRightInd w:val="0"/>
        <w:snapToGrid w:val="0"/>
        <w:spacing w:line="360" w:lineRule="auto"/>
        <w:ind w:firstLine="562" w:firstLineChars="200"/>
        <w:rPr>
          <w:rFonts w:ascii="仿宋_GB2312" w:hAnsi="仿宋_GB2312" w:eastAsia="仿宋_GB2312" w:cs="仿宋_GB2312"/>
          <w:b/>
          <w:sz w:val="28"/>
          <w:szCs w:val="28"/>
        </w:rPr>
      </w:pPr>
      <w:r>
        <w:rPr>
          <w:rFonts w:hint="eastAsia" w:ascii="仿宋_GB2312" w:hAnsi="仿宋_GB2312" w:eastAsia="仿宋_GB2312" w:cs="仿宋_GB2312"/>
          <w:b/>
          <w:sz w:val="28"/>
          <w:szCs w:val="28"/>
        </w:rPr>
        <w:t>合同价款</w:t>
      </w:r>
    </w:p>
    <w:p w14:paraId="276ADFCA">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（一）合同总价款为人民币（大写）（</w:t>
      </w:r>
      <w:r>
        <w:rPr>
          <w:rFonts w:hint="eastAsia" w:ascii="微软雅黑" w:hAnsi="微软雅黑" w:eastAsia="微软雅黑" w:cs="微软雅黑"/>
          <w:sz w:val="28"/>
          <w:szCs w:val="28"/>
        </w:rPr>
        <w:t>￥</w:t>
      </w:r>
      <w:r>
        <w:rPr>
          <w:rFonts w:hint="eastAsia" w:ascii="仿宋_GB2312" w:hAnsi="仿宋_GB2312" w:eastAsia="仿宋_GB2312" w:cs="仿宋_GB2312"/>
          <w:sz w:val="28"/>
          <w:szCs w:val="28"/>
        </w:rPr>
        <w:t>）。</w:t>
      </w:r>
    </w:p>
    <w:p w14:paraId="6E430144">
      <w:pPr>
        <w:adjustRightInd w:val="0"/>
        <w:snapToGrid w:val="0"/>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（二）合同总价包括但不限于人工费、设备费、交通费、住宿费、税金等一切相关费用，服务期内甲方不再增加任何费用。</w:t>
      </w:r>
    </w:p>
    <w:p w14:paraId="0007240E">
      <w:pPr>
        <w:adjustRightInd w:val="0"/>
        <w:snapToGrid w:val="0"/>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（三）合同总价一次性包死，不受市场价格变化因素的影响。</w:t>
      </w:r>
    </w:p>
    <w:p w14:paraId="354441D5">
      <w:pPr>
        <w:adjustRightInd w:val="0"/>
        <w:snapToGrid w:val="0"/>
        <w:spacing w:line="360" w:lineRule="auto"/>
        <w:ind w:firstLine="562" w:firstLineChars="200"/>
        <w:rPr>
          <w:rFonts w:ascii="仿宋_GB2312" w:hAnsi="仿宋_GB2312" w:eastAsia="仿宋_GB2312" w:cs="仿宋_GB2312"/>
          <w:b/>
          <w:sz w:val="28"/>
          <w:szCs w:val="28"/>
        </w:rPr>
      </w:pPr>
      <w:r>
        <w:rPr>
          <w:rFonts w:hint="eastAsia" w:ascii="仿宋_GB2312" w:hAnsi="仿宋_GB2312" w:eastAsia="仿宋_GB2312" w:cs="仿宋_GB2312"/>
          <w:b/>
          <w:sz w:val="28"/>
          <w:szCs w:val="28"/>
        </w:rPr>
        <w:t>二、款项结算</w:t>
      </w:r>
    </w:p>
    <w:p w14:paraId="42243DB3">
      <w:pPr>
        <w:adjustRightInd w:val="0"/>
        <w:snapToGrid w:val="0"/>
        <w:spacing w:line="360" w:lineRule="auto"/>
        <w:ind w:firstLine="560" w:firstLineChars="200"/>
        <w:rPr>
          <w:rFonts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（一）项款支</w:t>
      </w:r>
      <w:r>
        <w:rPr>
          <w:rFonts w:hint="eastAsia" w:ascii="仿宋_GB2312" w:hAnsi="仿宋_GB2312" w:eastAsia="仿宋_GB2312" w:cs="仿宋_GB2312"/>
          <w:sz w:val="28"/>
          <w:szCs w:val="28"/>
          <w:highlight w:val="none"/>
        </w:rPr>
        <w:t>付: 合同签订后，甲方向有关部门提出支付申请，向乙方支付合同总价款的85%作为首付款，即</w:t>
      </w:r>
      <w:r>
        <w:rPr>
          <w:rFonts w:hint="eastAsia" w:ascii="仿宋_GB2312" w:hAnsi="仿宋_GB2312" w:eastAsia="仿宋_GB2312" w:cs="仿宋_GB2312"/>
          <w:sz w:val="28"/>
          <w:szCs w:val="28"/>
          <w:highlight w:val="none"/>
          <w:u w:val="single"/>
        </w:rPr>
        <w:t>¥     元,大写：人民币    元</w:t>
      </w:r>
      <w:r>
        <w:rPr>
          <w:rFonts w:hint="eastAsia" w:ascii="仿宋_GB2312" w:hAnsi="仿宋_GB2312" w:eastAsia="仿宋_GB2312" w:cs="仿宋_GB2312"/>
          <w:sz w:val="28"/>
          <w:szCs w:val="28"/>
          <w:highlight w:val="none"/>
        </w:rPr>
        <w:t>,项目全部完成并提交成果报告及全部调查资料，待甲方组织验收合格后，甲方向乙方支付合同总价款15%，即</w:t>
      </w:r>
      <w:r>
        <w:rPr>
          <w:rFonts w:hint="eastAsia" w:ascii="仿宋_GB2312" w:hAnsi="仿宋_GB2312" w:eastAsia="仿宋_GB2312" w:cs="仿宋_GB2312"/>
          <w:sz w:val="28"/>
          <w:szCs w:val="28"/>
          <w:highlight w:val="none"/>
          <w:u w:val="single"/>
        </w:rPr>
        <w:t xml:space="preserve">¥      元,大写：人民币    </w:t>
      </w:r>
      <w:r>
        <w:rPr>
          <w:rFonts w:hint="eastAsia" w:ascii="仿宋_GB2312" w:hAnsi="仿宋_GB2312" w:eastAsia="仿宋_GB2312" w:cs="仿宋_GB2312"/>
          <w:sz w:val="28"/>
          <w:szCs w:val="28"/>
          <w:highlight w:val="none"/>
        </w:rPr>
        <w:t>元。</w:t>
      </w:r>
    </w:p>
    <w:p w14:paraId="4F275A27">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（二）支付方式：银行转账。</w:t>
      </w:r>
    </w:p>
    <w:p w14:paraId="595E245A">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（三）结算方式：由甲方负责结算，乙方在接受每次付款前，根据支付方式开具等额发票给甲方。</w:t>
      </w:r>
    </w:p>
    <w:p w14:paraId="5DF05D31">
      <w:pPr>
        <w:autoSpaceDE w:val="0"/>
        <w:autoSpaceDN w:val="0"/>
        <w:adjustRightInd w:val="0"/>
        <w:snapToGrid w:val="0"/>
        <w:spacing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三、服务要求</w:t>
      </w:r>
    </w:p>
    <w:p w14:paraId="0A0D5281">
      <w:pPr>
        <w:autoSpaceDE w:val="0"/>
        <w:autoSpaceDN w:val="0"/>
        <w:adjustRightInd w:val="0"/>
        <w:snapToGrid w:val="0"/>
        <w:spacing w:line="360" w:lineRule="auto"/>
        <w:ind w:firstLine="420" w:firstLineChars="150"/>
        <w:rPr>
          <w:rFonts w:ascii="仿宋_GB2312" w:hAnsi="仿宋_GB2312" w:eastAsia="仿宋_GB2312" w:cs="仿宋_GB2312"/>
          <w:bCs/>
          <w:color w:val="auto"/>
          <w:sz w:val="28"/>
          <w:szCs w:val="28"/>
          <w:highlight w:val="none"/>
        </w:rPr>
      </w:pPr>
      <w:r>
        <w:rPr>
          <w:rFonts w:hint="eastAsia" w:ascii="仿宋_GB2312" w:hAnsi="仿宋_GB2312" w:eastAsia="仿宋_GB2312" w:cs="仿宋_GB2312"/>
          <w:bCs/>
          <w:color w:val="auto"/>
          <w:sz w:val="28"/>
          <w:szCs w:val="28"/>
          <w:highlight w:val="none"/>
        </w:rPr>
        <w:t>（一）服务期限：</w:t>
      </w:r>
      <w:r>
        <w:rPr>
          <w:rFonts w:hint="eastAsia" w:ascii="仿宋_GB2312" w:hAnsi="仿宋_GB2312" w:eastAsia="仿宋_GB2312" w:cs="仿宋_GB2312"/>
          <w:color w:val="auto"/>
          <w:sz w:val="28"/>
          <w:szCs w:val="28"/>
          <w:highlight w:val="none"/>
        </w:rPr>
        <w:t>合同签订后3个月内，最终以实际验收日确定的期限为准</w:t>
      </w:r>
      <w:r>
        <w:rPr>
          <w:rFonts w:hint="eastAsia" w:ascii="仿宋_GB2312" w:hAnsi="仿宋_GB2312" w:eastAsia="仿宋_GB2312" w:cs="仿宋_GB2312"/>
          <w:bCs/>
          <w:color w:val="auto"/>
          <w:kern w:val="0"/>
          <w:sz w:val="28"/>
          <w:szCs w:val="28"/>
          <w:highlight w:val="none"/>
        </w:rPr>
        <w:t>。</w:t>
      </w:r>
      <w:r>
        <w:rPr>
          <w:rFonts w:hint="eastAsia" w:ascii="仿宋_GB2312" w:hAnsi="仿宋_GB2312" w:eastAsia="仿宋_GB2312" w:cs="仿宋_GB2312"/>
          <w:bCs/>
          <w:color w:val="auto"/>
          <w:kern w:val="0"/>
          <w:sz w:val="28"/>
          <w:szCs w:val="28"/>
          <w:highlight w:val="none"/>
        </w:rPr>
        <w:br w:type="textWrapping"/>
      </w:r>
      <w:r>
        <w:rPr>
          <w:rFonts w:hint="eastAsia" w:ascii="仿宋_GB2312" w:hAnsi="仿宋_GB2312" w:eastAsia="仿宋_GB2312" w:cs="仿宋_GB2312"/>
          <w:bCs/>
          <w:color w:val="auto"/>
          <w:kern w:val="0"/>
          <w:sz w:val="28"/>
          <w:szCs w:val="28"/>
          <w:highlight w:val="none"/>
          <w:lang w:val="en-US" w:eastAsia="zh-CN"/>
        </w:rPr>
        <w:t xml:space="preserve">   </w:t>
      </w:r>
      <w:r>
        <w:rPr>
          <w:rFonts w:hint="eastAsia" w:ascii="仿宋_GB2312" w:hAnsi="仿宋_GB2312" w:eastAsia="仿宋_GB2312" w:cs="仿宋_GB2312"/>
          <w:bCs/>
          <w:color w:val="auto"/>
          <w:sz w:val="28"/>
          <w:szCs w:val="28"/>
          <w:highlight w:val="none"/>
        </w:rPr>
        <w:t>（二）服务地点：西安市范围内，具体以</w:t>
      </w:r>
      <w:r>
        <w:rPr>
          <w:rFonts w:hint="eastAsia" w:ascii="仿宋_GB2312" w:hAnsi="仿宋_GB2312" w:eastAsia="仿宋_GB2312" w:cs="仿宋_GB2312"/>
          <w:bCs/>
          <w:color w:val="auto"/>
          <w:sz w:val="28"/>
          <w:szCs w:val="28"/>
          <w:highlight w:val="none"/>
          <w:lang w:val="en-US" w:eastAsia="zh-CN"/>
        </w:rPr>
        <w:t>甲方</w:t>
      </w:r>
      <w:r>
        <w:rPr>
          <w:rFonts w:hint="eastAsia" w:ascii="仿宋_GB2312" w:hAnsi="仿宋_GB2312" w:eastAsia="仿宋_GB2312" w:cs="仿宋_GB2312"/>
          <w:bCs/>
          <w:color w:val="auto"/>
          <w:sz w:val="28"/>
          <w:szCs w:val="28"/>
          <w:highlight w:val="none"/>
        </w:rPr>
        <w:t>要求为准。</w:t>
      </w:r>
    </w:p>
    <w:p w14:paraId="6DACB78C">
      <w:pPr>
        <w:adjustRightInd w:val="0"/>
        <w:snapToGrid w:val="0"/>
        <w:spacing w:line="360" w:lineRule="auto"/>
        <w:ind w:firstLine="562"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b/>
          <w:bCs/>
          <w:color w:val="auto"/>
          <w:sz w:val="28"/>
          <w:szCs w:val="28"/>
          <w:highlight w:val="none"/>
        </w:rPr>
        <w:t>四、质量标准：</w:t>
      </w:r>
      <w:r>
        <w:rPr>
          <w:rFonts w:hint="eastAsia" w:ascii="仿宋_GB2312" w:hAnsi="仿宋_GB2312" w:eastAsia="仿宋_GB2312" w:cs="仿宋_GB2312"/>
          <w:color w:val="auto"/>
          <w:sz w:val="28"/>
          <w:szCs w:val="28"/>
          <w:highlight w:val="none"/>
        </w:rPr>
        <w:t>符合国家有关行业规范和标准，顺利通过验收。</w:t>
      </w:r>
    </w:p>
    <w:p w14:paraId="797DF2B0">
      <w:pPr>
        <w:adjustRightInd w:val="0"/>
        <w:snapToGrid w:val="0"/>
        <w:spacing w:line="360" w:lineRule="auto"/>
        <w:ind w:firstLine="562" w:firstLineChars="200"/>
        <w:rPr>
          <w:rFonts w:ascii="仿宋_GB2312" w:hAnsi="仿宋_GB2312" w:eastAsia="仿宋_GB2312" w:cs="仿宋_GB2312"/>
          <w:color w:val="auto"/>
          <w:sz w:val="28"/>
          <w:szCs w:val="28"/>
          <w:highlight w:val="none"/>
        </w:rPr>
      </w:pPr>
      <w:r>
        <w:rPr>
          <w:rFonts w:hint="eastAsia" w:ascii="仿宋_GB2312" w:hAnsi="仿宋_GB2312" w:eastAsia="仿宋_GB2312" w:cs="仿宋_GB2312"/>
          <w:b/>
          <w:color w:val="auto"/>
          <w:sz w:val="28"/>
          <w:szCs w:val="28"/>
          <w:highlight w:val="none"/>
        </w:rPr>
        <w:t>五、</w:t>
      </w:r>
      <w:r>
        <w:rPr>
          <w:rFonts w:hint="eastAsia" w:ascii="仿宋_GB2312" w:hAnsi="仿宋_GB2312" w:eastAsia="仿宋_GB2312" w:cs="仿宋_GB2312"/>
          <w:b/>
          <w:bCs/>
          <w:color w:val="auto"/>
          <w:sz w:val="28"/>
          <w:szCs w:val="28"/>
          <w:highlight w:val="none"/>
        </w:rPr>
        <w:t>权利和义务</w:t>
      </w:r>
    </w:p>
    <w:p w14:paraId="45DC5119">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（一）甲方权利与义务 </w:t>
      </w:r>
    </w:p>
    <w:p w14:paraId="6506C68A">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1、甲方有权对乙方的工作进行督促和检查，对检查中发现的问题及时向乙方提出书面或口头改进意见，并要求乙方限期予以整改。</w:t>
      </w:r>
    </w:p>
    <w:p w14:paraId="1A9F7496">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2、甲方若认为乙方履行合同不力严重影响项目服务质量，甲方有权要求更换乙方主要人员，直至终止合同。</w:t>
      </w:r>
    </w:p>
    <w:p w14:paraId="6398D38E">
      <w:pPr>
        <w:adjustRightInd w:val="0"/>
        <w:snapToGrid w:val="0"/>
        <w:spacing w:line="360" w:lineRule="auto"/>
        <w:ind w:firstLine="560" w:firstLineChars="20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3、甲方应向乙方提供本合同规定的服务工作所需的资料和数据等。</w:t>
      </w:r>
    </w:p>
    <w:p w14:paraId="4A0C539F">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4、甲方应负责协调项目外部条件及与地方的关系。</w:t>
      </w:r>
    </w:p>
    <w:p w14:paraId="2291A6A3">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5、双方可根据政策的变动并结合实际情况对合同项目内容进行修改和补充，对项目内容的修改和补充双方以书面补充协议形式做出。 </w:t>
      </w:r>
    </w:p>
    <w:p w14:paraId="6A2A91BB">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6、甲方有权调阅乙方关于该项目的全部工作资料，并对本项目的检查和研究成果拥有所有权。 </w:t>
      </w:r>
    </w:p>
    <w:p w14:paraId="4AFEEB5F">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（二）乙方权利和义务 </w:t>
      </w:r>
    </w:p>
    <w:p w14:paraId="2D4DE418">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1、乙方应按照国家服务规范、标准、规程和甲方的采购需求和服务要求进行工作，根据甲方要求按时提交质量合格的服务成果，满足甲方需求。 </w:t>
      </w:r>
    </w:p>
    <w:p w14:paraId="2D7875B1">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2、乙方有权对业务工作提出建议，在服务过程中乙方如需另聘专家咨询或协助所产生的费用，由乙方承担。 </w:t>
      </w:r>
    </w:p>
    <w:p w14:paraId="65DC15F5">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3、乙方应接受甲方的检查监督及指导，完成甲方依合同约定交办的各项工作任务。 </w:t>
      </w:r>
    </w:p>
    <w:p w14:paraId="2FC632D2">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4、乙方必须按派出服务工作需要的服务团队人员向甲方提供工作人员名单，并保证团队人员的相对稳定。</w:t>
      </w:r>
    </w:p>
    <w:p w14:paraId="452C7B58">
      <w:pPr>
        <w:adjustRightInd w:val="0"/>
        <w:snapToGrid w:val="0"/>
        <w:spacing w:line="360" w:lineRule="auto"/>
        <w:ind w:firstLine="560" w:firstLineChars="200"/>
        <w:rPr>
          <w:rFonts w:hint="eastAsia"/>
          <w:color w:val="auto"/>
        </w:rPr>
      </w:pPr>
      <w:r>
        <w:rPr>
          <w:rFonts w:hint="eastAsia" w:ascii="仿宋_GB2312" w:hAnsi="仿宋_GB2312" w:eastAsia="仿宋_GB2312" w:cs="仿宋_GB2312"/>
          <w:color w:val="auto"/>
          <w:sz w:val="28"/>
          <w:szCs w:val="28"/>
        </w:rPr>
        <w:t>5、本合同履行过程中，乙方应加强安全管理，采取合理措施确保人员、财产安全，若发生安全故事或意外事件，乙方承担全部责任及费用。若因此给甲方造成影响的，乙方应及时消除影响</w:t>
      </w:r>
      <w:r>
        <w:rPr>
          <w:rFonts w:hint="eastAsia"/>
          <w:color w:val="auto"/>
        </w:rPr>
        <w:t>。</w:t>
      </w:r>
    </w:p>
    <w:p w14:paraId="20938646">
      <w:pPr>
        <w:adjustRightInd w:val="0"/>
        <w:snapToGrid w:val="0"/>
        <w:spacing w:line="360" w:lineRule="auto"/>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6</w:t>
      </w:r>
      <w:r>
        <w:rPr>
          <w:rFonts w:hint="eastAsia" w:ascii="仿宋_GB2312" w:hAnsi="仿宋_GB2312" w:eastAsia="仿宋_GB2312" w:cs="仿宋_GB2312"/>
          <w:color w:val="auto"/>
          <w:sz w:val="28"/>
          <w:szCs w:val="28"/>
        </w:rPr>
        <w:t>、本项目合同总价款是本次服务工作的唯一报酬。乙方及其人员不得接受与本合同有关的或与其承担义务有关的其他津贴、回扣等报酬。</w:t>
      </w:r>
    </w:p>
    <w:p w14:paraId="307BA451">
      <w:pPr>
        <w:pStyle w:val="2"/>
        <w:ind w:firstLine="560" w:firstLineChars="200"/>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kern w:val="2"/>
          <w:sz w:val="28"/>
          <w:szCs w:val="28"/>
          <w:lang w:val="en-US" w:eastAsia="zh-CN" w:bidi="ar-SA"/>
        </w:rPr>
        <w:t>7、验收通过后，若甲方认为本项目仍需要补正完善、调整修改、返工重做、配合协助的，乙方应按甲方要求完成，且该部分费用已包含在本合同总价款中。</w:t>
      </w:r>
    </w:p>
    <w:p w14:paraId="67505363">
      <w:pPr>
        <w:autoSpaceDE w:val="0"/>
        <w:autoSpaceDN w:val="0"/>
        <w:adjustRightInd w:val="0"/>
        <w:snapToGrid w:val="0"/>
        <w:spacing w:line="360" w:lineRule="auto"/>
        <w:ind w:firstLine="562" w:firstLineChars="200"/>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六、验收</w:t>
      </w:r>
    </w:p>
    <w:p w14:paraId="1D493592">
      <w:pPr>
        <w:autoSpaceDE w:val="0"/>
        <w:autoSpaceDN w:val="0"/>
        <w:adjustRightInd w:val="0"/>
        <w:snapToGrid w:val="0"/>
        <w:spacing w:line="360" w:lineRule="auto"/>
        <w:ind w:firstLine="560" w:firstLineChars="200"/>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（一）本项目验收费用，由乙方自行承担。</w:t>
      </w:r>
    </w:p>
    <w:p w14:paraId="0D9EE8DE">
      <w:pPr>
        <w:autoSpaceDE w:val="0"/>
        <w:autoSpaceDN w:val="0"/>
        <w:adjustRightInd w:val="0"/>
        <w:snapToGrid w:val="0"/>
        <w:spacing w:line="360" w:lineRule="auto"/>
        <w:ind w:firstLine="560" w:firstLineChars="200"/>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（二）工作完成后，由乙方向甲方递交验收通知书，经甲方确认后，组织乙方进行系统验收。验收合格后，填写项目验收单作为对本次服务的最终认可。</w:t>
      </w:r>
    </w:p>
    <w:p w14:paraId="5E06F692">
      <w:pPr>
        <w:autoSpaceDE w:val="0"/>
        <w:autoSpaceDN w:val="0"/>
        <w:adjustRightInd w:val="0"/>
        <w:snapToGrid w:val="0"/>
        <w:spacing w:line="360" w:lineRule="auto"/>
        <w:ind w:firstLine="560" w:firstLineChars="200"/>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（三）验收依据：</w:t>
      </w:r>
    </w:p>
    <w:p w14:paraId="1550C6E1">
      <w:pPr>
        <w:autoSpaceDE w:val="0"/>
        <w:autoSpaceDN w:val="0"/>
        <w:adjustRightInd w:val="0"/>
        <w:snapToGrid w:val="0"/>
        <w:spacing w:line="360" w:lineRule="auto"/>
        <w:ind w:firstLine="560" w:firstLineChars="200"/>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1、本合同及附加文本；</w:t>
      </w:r>
    </w:p>
    <w:p w14:paraId="265F4E43">
      <w:pPr>
        <w:autoSpaceDE w:val="0"/>
        <w:autoSpaceDN w:val="0"/>
        <w:adjustRightInd w:val="0"/>
        <w:snapToGrid w:val="0"/>
        <w:spacing w:line="360" w:lineRule="auto"/>
        <w:ind w:firstLine="560" w:firstLineChars="200"/>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2、磋商文件、成交供应商的响应文件及澄清（承诺）函；</w:t>
      </w:r>
    </w:p>
    <w:p w14:paraId="03053507">
      <w:pPr>
        <w:adjustRightInd w:val="0"/>
        <w:snapToGrid w:val="0"/>
        <w:spacing w:line="360" w:lineRule="auto"/>
        <w:ind w:firstLine="560" w:firstLineChars="200"/>
        <w:rPr>
          <w:rFonts w:ascii="仿宋_GB2312" w:hAnsi="仿宋_GB2312" w:eastAsia="仿宋_GB2312" w:cs="仿宋_GB2312"/>
          <w:b/>
          <w:color w:val="auto"/>
          <w:sz w:val="28"/>
          <w:szCs w:val="28"/>
        </w:rPr>
      </w:pPr>
      <w:r>
        <w:rPr>
          <w:rFonts w:hint="eastAsia" w:ascii="仿宋_GB2312" w:hAnsi="仿宋_GB2312" w:eastAsia="仿宋_GB2312" w:cs="仿宋_GB2312"/>
          <w:bCs/>
          <w:color w:val="auto"/>
          <w:sz w:val="28"/>
          <w:szCs w:val="28"/>
        </w:rPr>
        <w:t>3、国家相应的标准、规范。</w:t>
      </w:r>
    </w:p>
    <w:p w14:paraId="727521BD">
      <w:pPr>
        <w:autoSpaceDE w:val="0"/>
        <w:autoSpaceDN w:val="0"/>
        <w:adjustRightInd w:val="0"/>
        <w:snapToGrid w:val="0"/>
        <w:spacing w:line="360" w:lineRule="auto"/>
        <w:ind w:firstLine="562" w:firstLineChars="200"/>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七、知识产权</w:t>
      </w:r>
    </w:p>
    <w:p w14:paraId="39289823">
      <w:pPr>
        <w:autoSpaceDE w:val="0"/>
        <w:autoSpaceDN w:val="0"/>
        <w:adjustRightInd w:val="0"/>
        <w:snapToGrid w:val="0"/>
        <w:spacing w:line="360" w:lineRule="auto"/>
        <w:ind w:firstLine="560" w:firstLineChars="200"/>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 xml:space="preserve">（一）本项目所涉及到的所有成果的知识产权归甲方所有。 </w:t>
      </w:r>
    </w:p>
    <w:p w14:paraId="405710F9">
      <w:pPr>
        <w:autoSpaceDE w:val="0"/>
        <w:autoSpaceDN w:val="0"/>
        <w:adjustRightInd w:val="0"/>
        <w:snapToGrid w:val="0"/>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color w:val="auto"/>
          <w:sz w:val="28"/>
          <w:szCs w:val="28"/>
        </w:rPr>
        <w:t>（二）乙方无论出于任何目的如在其他地方使用该成果，必须经甲方同意方可使用。否则，甲方有权要求</w:t>
      </w:r>
      <w:r>
        <w:rPr>
          <w:rFonts w:hint="eastAsia" w:ascii="仿宋_GB2312" w:hAnsi="仿宋_GB2312" w:eastAsia="仿宋_GB2312" w:cs="仿宋_GB2312"/>
          <w:bCs/>
          <w:sz w:val="28"/>
          <w:szCs w:val="28"/>
        </w:rPr>
        <w:t xml:space="preserve">终止涉及到该知识产权的任何使用活动并保留追究卖方相应的法律责任的权利。 </w:t>
      </w:r>
    </w:p>
    <w:p w14:paraId="784FB3AE">
      <w:pPr>
        <w:autoSpaceDE w:val="0"/>
        <w:autoSpaceDN w:val="0"/>
        <w:adjustRightInd w:val="0"/>
        <w:snapToGrid w:val="0"/>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（三）乙方为执行本合同而提供的技术资料使用权归甲方所有。</w:t>
      </w:r>
    </w:p>
    <w:p w14:paraId="1F2D87A1">
      <w:pPr>
        <w:autoSpaceDE w:val="0"/>
        <w:autoSpaceDN w:val="0"/>
        <w:adjustRightInd w:val="0"/>
        <w:snapToGrid w:val="0"/>
        <w:spacing w:line="360" w:lineRule="auto"/>
        <w:ind w:firstLine="562" w:firstLineChars="200"/>
        <w:rPr>
          <w:rFonts w:ascii="仿宋_GB2312" w:hAnsi="仿宋_GB2312" w:eastAsia="仿宋_GB2312" w:cs="仿宋_GB2312"/>
          <w:b/>
          <w:sz w:val="28"/>
          <w:szCs w:val="28"/>
        </w:rPr>
      </w:pPr>
      <w:r>
        <w:rPr>
          <w:rFonts w:hint="eastAsia" w:ascii="仿宋_GB2312" w:hAnsi="仿宋_GB2312" w:eastAsia="仿宋_GB2312" w:cs="仿宋_GB2312"/>
          <w:b/>
          <w:sz w:val="28"/>
          <w:szCs w:val="28"/>
        </w:rPr>
        <w:t>八、保密要求</w:t>
      </w:r>
    </w:p>
    <w:p w14:paraId="0002DDDF">
      <w:pPr>
        <w:autoSpaceDE w:val="0"/>
        <w:autoSpaceDN w:val="0"/>
        <w:adjustRightInd w:val="0"/>
        <w:snapToGrid w:val="0"/>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（一）乙方在项目实施过程中，对甲方所提供的所有相关资料、</w:t>
      </w:r>
      <w:r>
        <w:rPr>
          <w:rFonts w:hint="eastAsia" w:ascii="仿宋_GB2312" w:hAnsi="仿宋_GB2312" w:eastAsia="仿宋_GB2312" w:cs="仿宋_GB2312"/>
          <w:bCs/>
          <w:color w:val="auto"/>
          <w:sz w:val="28"/>
          <w:szCs w:val="28"/>
        </w:rPr>
        <w:t>数据以及因本项目产生的相关信息，未经甲方书</w:t>
      </w:r>
      <w:r>
        <w:rPr>
          <w:rFonts w:hint="eastAsia" w:ascii="仿宋_GB2312" w:hAnsi="仿宋_GB2312" w:eastAsia="仿宋_GB2312" w:cs="仿宋_GB2312"/>
          <w:bCs/>
          <w:sz w:val="28"/>
          <w:szCs w:val="28"/>
        </w:rPr>
        <w:t>面同意不得向任何第三人泄露，且保密责任不因合同的终止或解除而失效。</w:t>
      </w:r>
    </w:p>
    <w:p w14:paraId="42F3B37C">
      <w:pPr>
        <w:autoSpaceDE w:val="0"/>
        <w:autoSpaceDN w:val="0"/>
        <w:adjustRightInd w:val="0"/>
        <w:snapToGrid w:val="0"/>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（二）项目完成后，乙方须把甲方提供的所有资料、数据完整归还甲方，并不得留存任何复制品。</w:t>
      </w:r>
    </w:p>
    <w:p w14:paraId="36EAAA34">
      <w:pPr>
        <w:adjustRightInd w:val="0"/>
        <w:snapToGrid w:val="0"/>
        <w:spacing w:line="360" w:lineRule="auto"/>
        <w:ind w:firstLine="562" w:firstLineChars="200"/>
        <w:rPr>
          <w:rFonts w:ascii="仿宋_GB2312" w:hAnsi="仿宋_GB2312" w:eastAsia="仿宋_GB2312" w:cs="仿宋_GB2312"/>
          <w:b/>
          <w:sz w:val="28"/>
          <w:szCs w:val="28"/>
        </w:rPr>
      </w:pPr>
      <w:r>
        <w:rPr>
          <w:rFonts w:hint="eastAsia" w:ascii="仿宋_GB2312" w:hAnsi="仿宋_GB2312" w:eastAsia="仿宋_GB2312" w:cs="仿宋_GB2312"/>
          <w:b/>
          <w:sz w:val="28"/>
          <w:szCs w:val="28"/>
        </w:rPr>
        <w:t>九、其它事项</w:t>
      </w:r>
    </w:p>
    <w:p w14:paraId="2FE66C9B">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（一）乙方不得将项目转让、分包给其它单位或个人。</w:t>
      </w:r>
    </w:p>
    <w:p w14:paraId="12EE52C4">
      <w:pPr>
        <w:adjustRightInd w:val="0"/>
        <w:snapToGrid w:val="0"/>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（二）乙方的磋商响应文件和承诺等内容将列入合同。</w:t>
      </w:r>
    </w:p>
    <w:p w14:paraId="38F5E360">
      <w:pPr>
        <w:adjustRightInd w:val="0"/>
        <w:snapToGrid w:val="0"/>
        <w:spacing w:line="360" w:lineRule="auto"/>
        <w:ind w:firstLine="562" w:firstLineChars="200"/>
        <w:rPr>
          <w:rFonts w:ascii="仿宋_GB2312" w:hAnsi="仿宋_GB2312" w:eastAsia="仿宋_GB2312" w:cs="仿宋_GB2312"/>
          <w:b/>
          <w:sz w:val="28"/>
          <w:szCs w:val="28"/>
        </w:rPr>
      </w:pPr>
      <w:r>
        <w:rPr>
          <w:rFonts w:hint="eastAsia" w:ascii="仿宋_GB2312" w:hAnsi="仿宋_GB2312" w:eastAsia="仿宋_GB2312" w:cs="仿宋_GB2312"/>
          <w:b/>
          <w:bCs/>
          <w:sz w:val="28"/>
          <w:szCs w:val="28"/>
        </w:rPr>
        <w:t>十、</w:t>
      </w:r>
      <w:r>
        <w:rPr>
          <w:rFonts w:hint="eastAsia" w:ascii="仿宋_GB2312" w:hAnsi="仿宋_GB2312" w:eastAsia="仿宋_GB2312" w:cs="仿宋_GB2312"/>
          <w:b/>
          <w:sz w:val="28"/>
          <w:szCs w:val="28"/>
        </w:rPr>
        <w:t>违约责任</w:t>
      </w:r>
    </w:p>
    <w:p w14:paraId="3E2B48F2">
      <w:pPr>
        <w:autoSpaceDE w:val="0"/>
        <w:autoSpaceDN w:val="0"/>
        <w:adjustRightInd w:val="0"/>
        <w:snapToGrid w:val="0"/>
        <w:spacing w:line="360" w:lineRule="auto"/>
        <w:ind w:firstLine="63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（一）按《中华人民共和国民法典》中的相关条款执行。</w:t>
      </w:r>
    </w:p>
    <w:p w14:paraId="78116645">
      <w:pPr>
        <w:autoSpaceDE w:val="0"/>
        <w:autoSpaceDN w:val="0"/>
        <w:adjustRightInd w:val="0"/>
        <w:snapToGrid w:val="0"/>
        <w:spacing w:line="360" w:lineRule="auto"/>
        <w:ind w:firstLine="63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（二）按合同要求提供服务或服务质量</w:t>
      </w:r>
      <w:r>
        <w:rPr>
          <w:rFonts w:hint="eastAsia" w:ascii="仿宋_GB2312" w:hAnsi="仿宋_GB2312" w:eastAsia="仿宋_GB2312" w:cs="仿宋_GB2312"/>
          <w:sz w:val="28"/>
          <w:szCs w:val="28"/>
        </w:rPr>
        <w:t>不能满足本次服务要求</w:t>
      </w:r>
      <w:r>
        <w:rPr>
          <w:rFonts w:hint="eastAsia" w:ascii="仿宋_GB2312" w:hAnsi="仿宋_GB2312" w:eastAsia="仿宋_GB2312" w:cs="仿宋_GB2312"/>
          <w:bCs/>
          <w:sz w:val="28"/>
          <w:szCs w:val="28"/>
        </w:rPr>
        <w:t>，乙方必须无条件提高技术，完善服务质量，否则，甲方会同监督机构、采购代理机构有权终止合同并对乙方违约行为进行追究，同时按政府采购供应商管理办法进行相应的处罚。</w:t>
      </w:r>
    </w:p>
    <w:p w14:paraId="408C9A77">
      <w:pPr>
        <w:autoSpaceDE w:val="0"/>
        <w:autoSpaceDN w:val="0"/>
        <w:adjustRightInd w:val="0"/>
        <w:snapToGrid w:val="0"/>
        <w:spacing w:line="360" w:lineRule="auto"/>
        <w:ind w:firstLine="63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（三）任何一方因不可抗力原因不能履行合同时，应尽快通知对方，双方均设法补偿。如仍无法履约合同，可协商延缓或撤销合同，双方责任免除。</w:t>
      </w:r>
    </w:p>
    <w:p w14:paraId="1815D222">
      <w:pPr>
        <w:autoSpaceDE w:val="0"/>
        <w:autoSpaceDN w:val="0"/>
        <w:adjustRightInd w:val="0"/>
        <w:spacing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十一、合同争议解决的方式</w:t>
      </w:r>
    </w:p>
    <w:p w14:paraId="213C09DE">
      <w:pPr>
        <w:autoSpaceDE w:val="0"/>
        <w:autoSpaceDN w:val="0"/>
        <w:adjustRightInd w:val="0"/>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本合同在履行过程中发生的争议，由甲、乙双方当事人协商解决，协商不成的按下列第</w:t>
      </w:r>
      <w:r>
        <w:rPr>
          <w:rFonts w:hint="eastAsia" w:ascii="仿宋_GB2312" w:hAnsi="仿宋_GB2312" w:eastAsia="仿宋_GB2312" w:cs="仿宋_GB2312"/>
          <w:bCs/>
          <w:sz w:val="28"/>
          <w:szCs w:val="28"/>
          <w:u w:val="single"/>
        </w:rPr>
        <w:t>（二）</w:t>
      </w:r>
      <w:r>
        <w:rPr>
          <w:rFonts w:hint="eastAsia" w:ascii="仿宋_GB2312" w:hAnsi="仿宋_GB2312" w:eastAsia="仿宋_GB2312" w:cs="仿宋_GB2312"/>
          <w:bCs/>
          <w:sz w:val="28"/>
          <w:szCs w:val="28"/>
        </w:rPr>
        <w:t>种方式解决：</w:t>
      </w:r>
    </w:p>
    <w:p w14:paraId="14EFC895">
      <w:pPr>
        <w:autoSpaceDE w:val="0"/>
        <w:autoSpaceDN w:val="0"/>
        <w:adjustRightInd w:val="0"/>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（一）提交西安仲裁委员会仲裁；</w:t>
      </w:r>
    </w:p>
    <w:p w14:paraId="47D225C3">
      <w:pPr>
        <w:autoSpaceDE w:val="0"/>
        <w:autoSpaceDN w:val="0"/>
        <w:adjustRightInd w:val="0"/>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（二）依法向甲方所在地人民法院起诉。</w:t>
      </w:r>
    </w:p>
    <w:p w14:paraId="6E33DF8D">
      <w:pPr>
        <w:autoSpaceDE w:val="0"/>
        <w:autoSpaceDN w:val="0"/>
        <w:adjustRightInd w:val="0"/>
        <w:spacing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十二、合同生效</w:t>
      </w:r>
    </w:p>
    <w:p w14:paraId="48B6767F">
      <w:pPr>
        <w:autoSpaceDE w:val="0"/>
        <w:autoSpaceDN w:val="0"/>
        <w:adjustRightInd w:val="0"/>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w:t>
      </w:r>
      <w:r>
        <w:rPr>
          <w:rFonts w:hint="eastAsia" w:ascii="仿宋_GB2312" w:hAnsi="仿宋_GB2312" w:eastAsia="仿宋_GB2312" w:cs="仿宋_GB2312"/>
          <w:bCs/>
          <w:sz w:val="28"/>
          <w:szCs w:val="28"/>
          <w:lang w:val="en-US" w:eastAsia="zh-CN"/>
        </w:rPr>
        <w:t>一</w:t>
      </w:r>
      <w:r>
        <w:rPr>
          <w:rFonts w:hint="eastAsia" w:ascii="仿宋_GB2312" w:hAnsi="仿宋_GB2312" w:eastAsia="仿宋_GB2312" w:cs="仿宋_GB2312"/>
          <w:bCs/>
          <w:sz w:val="28"/>
          <w:szCs w:val="28"/>
        </w:rPr>
        <w:t>）本合同须经甲、乙双方的法定代表人（授权代理人）在合同书上签字并加盖本单位公章后正式生效。</w:t>
      </w:r>
    </w:p>
    <w:p w14:paraId="257BAC49">
      <w:pPr>
        <w:autoSpaceDE w:val="0"/>
        <w:autoSpaceDN w:val="0"/>
        <w:adjustRightInd w:val="0"/>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w:t>
      </w:r>
      <w:r>
        <w:rPr>
          <w:rFonts w:hint="eastAsia" w:ascii="仿宋_GB2312" w:hAnsi="仿宋_GB2312" w:eastAsia="仿宋_GB2312" w:cs="仿宋_GB2312"/>
          <w:bCs/>
          <w:sz w:val="28"/>
          <w:szCs w:val="28"/>
          <w:lang w:val="en-US" w:eastAsia="zh-CN"/>
        </w:rPr>
        <w:t>二</w:t>
      </w:r>
      <w:r>
        <w:rPr>
          <w:rFonts w:hint="eastAsia" w:ascii="仿宋_GB2312" w:hAnsi="仿宋_GB2312" w:eastAsia="仿宋_GB2312" w:cs="仿宋_GB2312"/>
          <w:bCs/>
          <w:sz w:val="28"/>
          <w:szCs w:val="28"/>
        </w:rPr>
        <w:t>）合同生效后，甲、乙双方须严格执行本合同条款的规定，全面履行合同，违者按《</w:t>
      </w:r>
      <w:r>
        <w:rPr>
          <w:rFonts w:hint="eastAsia" w:ascii="仿宋_GB2312" w:hAnsi="仿宋" w:eastAsia="仿宋_GB2312"/>
          <w:bCs/>
          <w:sz w:val="28"/>
          <w:szCs w:val="28"/>
        </w:rPr>
        <w:t>中华人民共和国民法典</w:t>
      </w:r>
      <w:r>
        <w:rPr>
          <w:rFonts w:hint="eastAsia" w:ascii="仿宋_GB2312" w:hAnsi="仿宋_GB2312" w:eastAsia="仿宋_GB2312" w:cs="仿宋_GB2312"/>
          <w:bCs/>
          <w:sz w:val="28"/>
          <w:szCs w:val="28"/>
        </w:rPr>
        <w:t>》的有关规定承担相应责任。</w:t>
      </w:r>
    </w:p>
    <w:p w14:paraId="4426CA71">
      <w:pPr>
        <w:autoSpaceDE w:val="0"/>
        <w:autoSpaceDN w:val="0"/>
        <w:adjustRightInd w:val="0"/>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w:t>
      </w:r>
      <w:r>
        <w:rPr>
          <w:rFonts w:hint="eastAsia" w:ascii="仿宋_GB2312" w:hAnsi="仿宋_GB2312" w:eastAsia="仿宋_GB2312" w:cs="仿宋_GB2312"/>
          <w:bCs/>
          <w:sz w:val="28"/>
          <w:szCs w:val="28"/>
          <w:lang w:val="en-US" w:eastAsia="zh-CN"/>
        </w:rPr>
        <w:t>三</w:t>
      </w:r>
      <w:r>
        <w:rPr>
          <w:rFonts w:hint="eastAsia" w:ascii="仿宋_GB2312" w:hAnsi="仿宋_GB2312" w:eastAsia="仿宋_GB2312" w:cs="仿宋_GB2312"/>
          <w:bCs/>
          <w:sz w:val="28"/>
          <w:szCs w:val="28"/>
        </w:rPr>
        <w:t>）本合同一式份，甲乙双方各执份。</w:t>
      </w:r>
    </w:p>
    <w:p w14:paraId="12226ACC">
      <w:pPr>
        <w:autoSpaceDE w:val="0"/>
        <w:autoSpaceDN w:val="0"/>
        <w:adjustRightInd w:val="0"/>
        <w:spacing w:line="360" w:lineRule="auto"/>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w:t>
      </w:r>
      <w:r>
        <w:rPr>
          <w:rFonts w:hint="eastAsia" w:ascii="仿宋_GB2312" w:hAnsi="仿宋_GB2312" w:eastAsia="仿宋_GB2312" w:cs="仿宋_GB2312"/>
          <w:bCs/>
          <w:sz w:val="28"/>
          <w:szCs w:val="28"/>
          <w:lang w:val="en-US" w:eastAsia="zh-CN"/>
        </w:rPr>
        <w:t>四</w:t>
      </w:r>
      <w:r>
        <w:rPr>
          <w:rFonts w:hint="eastAsia" w:ascii="仿宋_GB2312" w:hAnsi="仿宋_GB2312" w:eastAsia="仿宋_GB2312" w:cs="仿宋_GB2312"/>
          <w:bCs/>
          <w:sz w:val="28"/>
          <w:szCs w:val="28"/>
        </w:rPr>
        <w:t>）本合同如有未尽事宜，甲、乙双方协商解决。</w:t>
      </w:r>
    </w:p>
    <w:p w14:paraId="11DFBA9F">
      <w:pPr>
        <w:tabs>
          <w:tab w:val="left" w:pos="480"/>
        </w:tabs>
        <w:spacing w:line="360" w:lineRule="auto"/>
        <w:ind w:firstLine="480" w:firstLineChars="200"/>
        <w:rPr>
          <w:rFonts w:ascii="仿宋_GB2312" w:hAnsi="仿宋_GB2312" w:eastAsia="仿宋_GB2312" w:cs="仿宋_GB2312"/>
          <w:spacing w:val="-20"/>
          <w:kern w:val="0"/>
          <w:sz w:val="28"/>
          <w:szCs w:val="28"/>
        </w:rPr>
      </w:pPr>
    </w:p>
    <w:tbl>
      <w:tblPr>
        <w:tblStyle w:val="8"/>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201"/>
        <w:gridCol w:w="4202"/>
      </w:tblGrid>
      <w:tr w14:paraId="7732BB06">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ign w:val="center"/>
          </w:tcPr>
          <w:p w14:paraId="09171CEB">
            <w:pPr>
              <w:autoSpaceDE w:val="0"/>
              <w:autoSpaceDN w:val="0"/>
              <w:adjustRightInd w:val="0"/>
              <w:rPr>
                <w:rFonts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甲  方</w:t>
            </w:r>
          </w:p>
        </w:tc>
        <w:tc>
          <w:tcPr>
            <w:tcW w:w="4202" w:type="dxa"/>
            <w:noWrap/>
            <w:vAlign w:val="center"/>
          </w:tcPr>
          <w:p w14:paraId="4BEA5B12">
            <w:pPr>
              <w:autoSpaceDE w:val="0"/>
              <w:autoSpaceDN w:val="0"/>
              <w:adjustRightInd w:val="0"/>
              <w:rPr>
                <w:rFonts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乙  方</w:t>
            </w:r>
          </w:p>
        </w:tc>
      </w:tr>
      <w:tr w14:paraId="4B3053E3">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ign w:val="center"/>
          </w:tcPr>
          <w:p w14:paraId="5296CB4E">
            <w:pPr>
              <w:autoSpaceDE w:val="0"/>
              <w:autoSpaceDN w:val="0"/>
              <w:adjustRightInd w:val="0"/>
              <w:ind w:firstLine="840" w:firstLineChars="350"/>
              <w:rPr>
                <w:rFonts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（盖章）</w:t>
            </w:r>
          </w:p>
        </w:tc>
        <w:tc>
          <w:tcPr>
            <w:tcW w:w="4202" w:type="dxa"/>
            <w:noWrap/>
            <w:vAlign w:val="center"/>
          </w:tcPr>
          <w:p w14:paraId="5E4BA9A7">
            <w:pPr>
              <w:autoSpaceDE w:val="0"/>
              <w:autoSpaceDN w:val="0"/>
              <w:adjustRightInd w:val="0"/>
              <w:ind w:firstLine="960" w:firstLineChars="400"/>
              <w:rPr>
                <w:rFonts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（盖章）</w:t>
            </w:r>
          </w:p>
        </w:tc>
      </w:tr>
      <w:tr w14:paraId="07848B24">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ign w:val="center"/>
          </w:tcPr>
          <w:p w14:paraId="459900B1">
            <w:pPr>
              <w:autoSpaceDE w:val="0"/>
              <w:autoSpaceDN w:val="0"/>
              <w:adjustRightInd w:val="0"/>
              <w:rPr>
                <w:rFonts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 xml:space="preserve">地址： </w:t>
            </w:r>
          </w:p>
        </w:tc>
        <w:tc>
          <w:tcPr>
            <w:tcW w:w="4202" w:type="dxa"/>
            <w:noWrap/>
            <w:vAlign w:val="center"/>
          </w:tcPr>
          <w:p w14:paraId="52E9ABE2">
            <w:pPr>
              <w:autoSpaceDE w:val="0"/>
              <w:autoSpaceDN w:val="0"/>
              <w:adjustRightInd w:val="0"/>
              <w:rPr>
                <w:rFonts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地址：</w:t>
            </w:r>
          </w:p>
        </w:tc>
      </w:tr>
      <w:tr w14:paraId="6BF1BA69">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ign w:val="center"/>
          </w:tcPr>
          <w:p w14:paraId="44CF464D">
            <w:pPr>
              <w:autoSpaceDE w:val="0"/>
              <w:autoSpaceDN w:val="0"/>
              <w:adjustRightInd w:val="0"/>
              <w:rPr>
                <w:rFonts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邮编：</w:t>
            </w:r>
          </w:p>
        </w:tc>
        <w:tc>
          <w:tcPr>
            <w:tcW w:w="4202" w:type="dxa"/>
            <w:noWrap/>
            <w:vAlign w:val="center"/>
          </w:tcPr>
          <w:p w14:paraId="0C5377CE">
            <w:pPr>
              <w:autoSpaceDE w:val="0"/>
              <w:autoSpaceDN w:val="0"/>
              <w:adjustRightInd w:val="0"/>
              <w:rPr>
                <w:rFonts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邮编：</w:t>
            </w:r>
          </w:p>
        </w:tc>
      </w:tr>
      <w:tr w14:paraId="0731F385">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ign w:val="center"/>
          </w:tcPr>
          <w:p w14:paraId="2C879BC3">
            <w:pPr>
              <w:autoSpaceDE w:val="0"/>
              <w:autoSpaceDN w:val="0"/>
              <w:adjustRightInd w:val="0"/>
              <w:rPr>
                <w:rFonts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 xml:space="preserve">法定代表人： </w:t>
            </w:r>
          </w:p>
        </w:tc>
        <w:tc>
          <w:tcPr>
            <w:tcW w:w="4202" w:type="dxa"/>
            <w:noWrap/>
            <w:vAlign w:val="center"/>
          </w:tcPr>
          <w:p w14:paraId="34862A3B">
            <w:pPr>
              <w:autoSpaceDE w:val="0"/>
              <w:autoSpaceDN w:val="0"/>
              <w:adjustRightInd w:val="0"/>
              <w:rPr>
                <w:rFonts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法定代表人：</w:t>
            </w:r>
          </w:p>
        </w:tc>
      </w:tr>
      <w:tr w14:paraId="4FB45BF1">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ign w:val="center"/>
          </w:tcPr>
          <w:p w14:paraId="27ABF668">
            <w:pPr>
              <w:autoSpaceDE w:val="0"/>
              <w:autoSpaceDN w:val="0"/>
              <w:adjustRightInd w:val="0"/>
              <w:rPr>
                <w:rFonts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被授权代表：</w:t>
            </w:r>
          </w:p>
        </w:tc>
        <w:tc>
          <w:tcPr>
            <w:tcW w:w="4202" w:type="dxa"/>
            <w:noWrap/>
            <w:vAlign w:val="center"/>
          </w:tcPr>
          <w:p w14:paraId="75EE9A26">
            <w:pPr>
              <w:autoSpaceDE w:val="0"/>
              <w:autoSpaceDN w:val="0"/>
              <w:adjustRightInd w:val="0"/>
              <w:rPr>
                <w:rFonts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被授权代表：</w:t>
            </w:r>
          </w:p>
        </w:tc>
      </w:tr>
      <w:tr w14:paraId="143AECD9">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ign w:val="center"/>
          </w:tcPr>
          <w:p w14:paraId="5EBE9481">
            <w:pPr>
              <w:autoSpaceDE w:val="0"/>
              <w:autoSpaceDN w:val="0"/>
              <w:adjustRightInd w:val="0"/>
              <w:rPr>
                <w:rFonts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电话：</w:t>
            </w:r>
          </w:p>
        </w:tc>
        <w:tc>
          <w:tcPr>
            <w:tcW w:w="4202" w:type="dxa"/>
            <w:noWrap/>
            <w:vAlign w:val="center"/>
          </w:tcPr>
          <w:p w14:paraId="5757C573">
            <w:pPr>
              <w:autoSpaceDE w:val="0"/>
              <w:autoSpaceDN w:val="0"/>
              <w:adjustRightInd w:val="0"/>
              <w:ind w:left="720" w:hanging="720" w:hangingChars="300"/>
              <w:rPr>
                <w:rFonts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电话：</w:t>
            </w:r>
          </w:p>
        </w:tc>
      </w:tr>
      <w:tr w14:paraId="5D648E69">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ign w:val="center"/>
          </w:tcPr>
          <w:p w14:paraId="28DE08E4">
            <w:pPr>
              <w:autoSpaceDE w:val="0"/>
              <w:autoSpaceDN w:val="0"/>
              <w:adjustRightInd w:val="0"/>
              <w:rPr>
                <w:rFonts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传真：</w:t>
            </w:r>
          </w:p>
        </w:tc>
        <w:tc>
          <w:tcPr>
            <w:tcW w:w="4202" w:type="dxa"/>
            <w:noWrap/>
            <w:vAlign w:val="center"/>
          </w:tcPr>
          <w:p w14:paraId="5C106E2E">
            <w:pPr>
              <w:autoSpaceDE w:val="0"/>
              <w:autoSpaceDN w:val="0"/>
              <w:adjustRightInd w:val="0"/>
              <w:rPr>
                <w:rFonts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传真：</w:t>
            </w:r>
          </w:p>
        </w:tc>
      </w:tr>
      <w:tr w14:paraId="4489DBEB">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ign w:val="center"/>
          </w:tcPr>
          <w:p w14:paraId="64756699">
            <w:pPr>
              <w:autoSpaceDE w:val="0"/>
              <w:autoSpaceDN w:val="0"/>
              <w:adjustRightInd w:val="0"/>
              <w:rPr>
                <w:rFonts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开户银行：</w:t>
            </w:r>
          </w:p>
        </w:tc>
        <w:tc>
          <w:tcPr>
            <w:tcW w:w="4202" w:type="dxa"/>
            <w:noWrap/>
            <w:vAlign w:val="center"/>
          </w:tcPr>
          <w:p w14:paraId="564AF428">
            <w:pPr>
              <w:autoSpaceDE w:val="0"/>
              <w:autoSpaceDN w:val="0"/>
              <w:adjustRightInd w:val="0"/>
              <w:rPr>
                <w:rFonts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开户银行：</w:t>
            </w:r>
          </w:p>
        </w:tc>
      </w:tr>
      <w:tr w14:paraId="2F75414E">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ign w:val="center"/>
          </w:tcPr>
          <w:p w14:paraId="4F314258">
            <w:pPr>
              <w:autoSpaceDE w:val="0"/>
              <w:autoSpaceDN w:val="0"/>
              <w:adjustRightInd w:val="0"/>
              <w:rPr>
                <w:rFonts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日期：</w:t>
            </w:r>
          </w:p>
        </w:tc>
        <w:tc>
          <w:tcPr>
            <w:tcW w:w="4202" w:type="dxa"/>
            <w:noWrap/>
            <w:vAlign w:val="center"/>
          </w:tcPr>
          <w:p w14:paraId="1776A08E">
            <w:pPr>
              <w:autoSpaceDE w:val="0"/>
              <w:autoSpaceDN w:val="0"/>
              <w:adjustRightInd w:val="0"/>
              <w:rPr>
                <w:rFonts w:ascii="仿宋_GB2312" w:hAnsi="仿宋_GB2312" w:eastAsia="仿宋_GB2312" w:cs="仿宋_GB2312"/>
                <w:spacing w:val="-20"/>
                <w:kern w:val="0"/>
                <w:sz w:val="28"/>
                <w:szCs w:val="28"/>
              </w:rPr>
            </w:pPr>
            <w:r>
              <w:rPr>
                <w:rFonts w:hint="eastAsia" w:ascii="仿宋_GB2312" w:hAnsi="仿宋_GB2312" w:eastAsia="仿宋_GB2312" w:cs="仿宋_GB2312"/>
                <w:spacing w:val="-20"/>
                <w:kern w:val="0"/>
                <w:sz w:val="28"/>
                <w:szCs w:val="28"/>
              </w:rPr>
              <w:t>日期：</w:t>
            </w:r>
          </w:p>
        </w:tc>
      </w:tr>
    </w:tbl>
    <w:p w14:paraId="52134A98"/>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2FE2EF"/>
    <w:multiLevelType w:val="singleLevel"/>
    <w:tmpl w:val="3A2FE2E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C77293"/>
    <w:rsid w:val="00C34048"/>
    <w:rsid w:val="050471D5"/>
    <w:rsid w:val="053C7039"/>
    <w:rsid w:val="05711A44"/>
    <w:rsid w:val="07055153"/>
    <w:rsid w:val="07F933E3"/>
    <w:rsid w:val="09CF2980"/>
    <w:rsid w:val="09D0533B"/>
    <w:rsid w:val="0B6F77E5"/>
    <w:rsid w:val="0BE77DA2"/>
    <w:rsid w:val="117A2513"/>
    <w:rsid w:val="13FE0526"/>
    <w:rsid w:val="181C3FA3"/>
    <w:rsid w:val="18EF18DD"/>
    <w:rsid w:val="19235D7C"/>
    <w:rsid w:val="1F5A6197"/>
    <w:rsid w:val="23C949D6"/>
    <w:rsid w:val="26396924"/>
    <w:rsid w:val="26E13E53"/>
    <w:rsid w:val="27D868FE"/>
    <w:rsid w:val="283D6944"/>
    <w:rsid w:val="297558AC"/>
    <w:rsid w:val="2D901664"/>
    <w:rsid w:val="333A6108"/>
    <w:rsid w:val="34391CBC"/>
    <w:rsid w:val="34880D18"/>
    <w:rsid w:val="34E06B1D"/>
    <w:rsid w:val="34FD51B3"/>
    <w:rsid w:val="37B13F46"/>
    <w:rsid w:val="385935CD"/>
    <w:rsid w:val="3A6F7E2D"/>
    <w:rsid w:val="3ABB227F"/>
    <w:rsid w:val="3C31041F"/>
    <w:rsid w:val="3D1928D1"/>
    <w:rsid w:val="3F41226C"/>
    <w:rsid w:val="41271A71"/>
    <w:rsid w:val="427D3EB0"/>
    <w:rsid w:val="44C01FE2"/>
    <w:rsid w:val="485E59E4"/>
    <w:rsid w:val="4A3C512E"/>
    <w:rsid w:val="4BE156B5"/>
    <w:rsid w:val="4EE80B08"/>
    <w:rsid w:val="50742555"/>
    <w:rsid w:val="52876BC7"/>
    <w:rsid w:val="530774AF"/>
    <w:rsid w:val="55A52421"/>
    <w:rsid w:val="579A3366"/>
    <w:rsid w:val="59502521"/>
    <w:rsid w:val="5B0842C5"/>
    <w:rsid w:val="5C036210"/>
    <w:rsid w:val="5CD53D97"/>
    <w:rsid w:val="5EAE573F"/>
    <w:rsid w:val="5F171848"/>
    <w:rsid w:val="615B30D9"/>
    <w:rsid w:val="615C33BC"/>
    <w:rsid w:val="636D3049"/>
    <w:rsid w:val="693A7F09"/>
    <w:rsid w:val="6A894E1B"/>
    <w:rsid w:val="6AF272E7"/>
    <w:rsid w:val="6B861DFC"/>
    <w:rsid w:val="6BC77293"/>
    <w:rsid w:val="6C136138"/>
    <w:rsid w:val="6C414997"/>
    <w:rsid w:val="6C5C1EDC"/>
    <w:rsid w:val="6E5824A9"/>
    <w:rsid w:val="70DA5D7D"/>
    <w:rsid w:val="72E3010A"/>
    <w:rsid w:val="738B22F5"/>
    <w:rsid w:val="75153B55"/>
    <w:rsid w:val="7540409A"/>
    <w:rsid w:val="75FC26D7"/>
    <w:rsid w:val="78A417BB"/>
    <w:rsid w:val="7B7D3A13"/>
    <w:rsid w:val="7CCE6984"/>
    <w:rsid w:val="7D393C95"/>
    <w:rsid w:val="7D6D78F8"/>
    <w:rsid w:val="7DF2584A"/>
    <w:rsid w:val="7E7D63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1"/>
    <w:autoRedefine/>
    <w:qFormat/>
    <w:uiPriority w:val="0"/>
    <w:pPr>
      <w:spacing w:before="0" w:beforeAutospacing="1" w:after="0" w:afterAutospacing="1"/>
      <w:jc w:val="left"/>
      <w:outlineLvl w:val="0"/>
    </w:pPr>
    <w:rPr>
      <w:rFonts w:hint="eastAsia" w:ascii="宋体" w:hAnsi="宋体" w:eastAsia="仿宋_GB2312" w:cs="宋体"/>
      <w:b/>
      <w:bCs/>
      <w:sz w:val="32"/>
      <w:szCs w:val="48"/>
      <w:lang w:bidi="ar"/>
    </w:rPr>
  </w:style>
  <w:style w:type="paragraph" w:styleId="4">
    <w:name w:val="heading 2"/>
    <w:basedOn w:val="1"/>
    <w:next w:val="1"/>
    <w:link w:val="10"/>
    <w:semiHidden/>
    <w:unhideWhenUsed/>
    <w:qFormat/>
    <w:uiPriority w:val="0"/>
    <w:pPr>
      <w:keepNext/>
      <w:adjustRightInd w:val="0"/>
      <w:snapToGrid w:val="0"/>
      <w:spacing w:line="360" w:lineRule="auto"/>
      <w:outlineLvl w:val="1"/>
    </w:pPr>
    <w:rPr>
      <w:rFonts w:ascii="黑体" w:hAnsi="黑体" w:cs="Times New Roman"/>
      <w:b/>
      <w:sz w:val="30"/>
      <w:szCs w:val="24"/>
    </w:rPr>
  </w:style>
  <w:style w:type="paragraph" w:styleId="5">
    <w:name w:val="heading 3"/>
    <w:basedOn w:val="1"/>
    <w:next w:val="1"/>
    <w:link w:val="12"/>
    <w:semiHidden/>
    <w:unhideWhenUsed/>
    <w:qFormat/>
    <w:uiPriority w:val="0"/>
    <w:pPr>
      <w:keepNext/>
      <w:keepLines/>
      <w:adjustRightInd w:val="0"/>
      <w:snapToGrid w:val="0"/>
      <w:spacing w:beforeLines="0" w:beforeAutospacing="0" w:afterLines="0" w:afterAutospacing="0" w:line="360" w:lineRule="auto"/>
      <w:outlineLvl w:val="2"/>
    </w:pPr>
    <w:rPr>
      <w:rFonts w:ascii="Calibri" w:hAnsi="Calibri" w:cs="Times New Roman"/>
      <w:b/>
      <w:sz w:val="24"/>
      <w:szCs w:val="24"/>
    </w:rPr>
  </w:style>
  <w:style w:type="paragraph" w:styleId="6">
    <w:name w:val="heading 4"/>
    <w:basedOn w:val="1"/>
    <w:next w:val="1"/>
    <w:semiHidden/>
    <w:unhideWhenUsed/>
    <w:qFormat/>
    <w:uiPriority w:val="0"/>
    <w:pPr>
      <w:keepNext/>
      <w:keepLines/>
      <w:adjustRightInd w:val="0"/>
      <w:snapToGrid w:val="0"/>
      <w:spacing w:beforeLines="0" w:beforeAutospacing="0" w:afterLines="0" w:afterAutospacing="0" w:line="300" w:lineRule="auto"/>
      <w:outlineLvl w:val="3"/>
    </w:pPr>
    <w:rPr>
      <w:rFonts w:ascii="Arial" w:hAnsi="Arial" w:cs="Times New Roman"/>
      <w:b/>
      <w:sz w:val="30"/>
      <w:szCs w:val="24"/>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afterLines="0" w:afterAutospacing="0"/>
    </w:pPr>
  </w:style>
  <w:style w:type="paragraph" w:styleId="7">
    <w:name w:val="Normal Indent"/>
    <w:basedOn w:val="1"/>
    <w:autoRedefine/>
    <w:qFormat/>
    <w:uiPriority w:val="0"/>
    <w:pPr>
      <w:ind w:firstLine="420" w:firstLineChars="200"/>
    </w:pPr>
  </w:style>
  <w:style w:type="character" w:customStyle="1" w:styleId="10">
    <w:name w:val="标题 2 Char"/>
    <w:link w:val="4"/>
    <w:autoRedefine/>
    <w:qFormat/>
    <w:uiPriority w:val="0"/>
    <w:rPr>
      <w:rFonts w:ascii="Arial" w:hAnsi="Arial" w:eastAsia="仿宋_GB2312" w:cs="Times New Roman"/>
      <w:b/>
      <w:snapToGrid w:val="0"/>
      <w:color w:val="000000"/>
      <w:kern w:val="0"/>
      <w:sz w:val="30"/>
      <w:szCs w:val="24"/>
      <w:lang w:eastAsia="en-US"/>
    </w:rPr>
  </w:style>
  <w:style w:type="character" w:customStyle="1" w:styleId="11">
    <w:name w:val="标题 1 Char"/>
    <w:link w:val="3"/>
    <w:autoRedefine/>
    <w:qFormat/>
    <w:uiPriority w:val="0"/>
    <w:rPr>
      <w:rFonts w:ascii="宋体" w:hAnsi="宋体" w:eastAsia="仿宋_GB2312" w:cs="宋体"/>
      <w:b/>
      <w:bCs/>
      <w:snapToGrid w:val="0"/>
      <w:color w:val="000000"/>
      <w:spacing w:val="-4"/>
      <w:kern w:val="44"/>
      <w:sz w:val="32"/>
      <w:szCs w:val="24"/>
      <w:lang w:val="en-US" w:eastAsia="en-US" w:bidi="ar-SA"/>
    </w:rPr>
  </w:style>
  <w:style w:type="character" w:customStyle="1" w:styleId="12">
    <w:name w:val="标题 3 Char"/>
    <w:link w:val="5"/>
    <w:qFormat/>
    <w:uiPriority w:val="0"/>
    <w:rPr>
      <w:rFonts w:ascii="Calibri" w:hAnsi="Calibri" w:eastAsia="仿宋_GB2312" w:cs="Times New Roman"/>
      <w:b/>
      <w:bCs/>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2025-09-12T09:24:00Z</dcterms:created>
  <dc:creator>华采</dc:creator>
  <cp:lastModifiedBy>华采</cp:lastModifiedBy>
  <dcterms:modified xsi:type="dcterms:W3CDTF">2025-09-12T09:24:36Z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18D94DD2C04E40E19E5BCA5CD762487D_11</vt:lpwstr>
  </property>
  <property fmtid="{D5CDD505-2E9C-101B-9397-08002B2CF9AE}" pid="4" name="KSOTemplateDocerSaveRecord">
    <vt:lpwstr>eyJoZGlkIjoiZjJhNzdmOTM5YmVkNWYxMDI1ZDJkZDk5YzNhZTc2YzAiLCJ1c2VySWQiOiIyNzA3NjExMTQifQ==</vt:lpwstr>
  </property>
</Properties>
</file>