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版本号：TZZB-Z-2025227C20250910001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西安市中小学教师及校园长信息技术应用能力提升培训项目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TZZB-Z-2025227C</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西安市中小学教师及校园长信息技术应用能力提升培训项目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TZZB-Z-2025227C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西安市中小学教师及校园长信息技术应用能力提升培训项目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西安市中小学教师及校园长信息技术应用能力提升培训项目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采购包1（西安市中小学教师及校园长信息技术应用能力提升培训项目）：属于专门面向中小企业采购。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5、社保缴纳证明：提供自2024年9月1日以来已缴存的任意1个月的社会保障资金缴存单据或社保机构开具的社会保险参保缴费情况证明；依法不需要缴纳社会保障资金的供应商应提供相关证明文件。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9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西安市中小学教师及校园长信息技术应用能力提升培训项目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西安市中小学教师及校园长信息技术应用能力提升培训项目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标的名称：西安市中小学教师及校园长信息技术应用能力提升培训项目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一、基本情况</w:t>
            </w:r>
          </w:p>
          <w:p>
            <w:pPr>
              <w:pStyle w:val="null3"/>
            </w:pPr>
            <w:r>
              <w:rPr>
                <w:rFonts w:ascii="仿宋_GB2312" w:hAnsi="仿宋_GB2312" w:cs="仿宋_GB2312" w:eastAsia="仿宋_GB2312"/>
                <w:sz w:val="20"/>
              </w:rPr>
              <w:t>项目名称：西安市中小学教师及校园长信息技术应用能力提升培训项目</w:t>
            </w:r>
          </w:p>
          <w:p>
            <w:pPr>
              <w:pStyle w:val="null3"/>
            </w:pPr>
            <w:r>
              <w:rPr>
                <w:rFonts w:ascii="仿宋_GB2312" w:hAnsi="仿宋_GB2312" w:cs="仿宋_GB2312" w:eastAsia="仿宋_GB2312"/>
                <w:sz w:val="21"/>
              </w:rPr>
              <w:t>预算金额：56万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b/>
              </w:rPr>
              <w:t>二、项目实施背景和依据</w:t>
            </w:r>
          </w:p>
          <w:p>
            <w:pPr>
              <w:pStyle w:val="null3"/>
            </w:pPr>
            <w:r>
              <w:rPr>
                <w:rFonts w:ascii="仿宋_GB2312" w:hAnsi="仿宋_GB2312" w:cs="仿宋_GB2312" w:eastAsia="仿宋_GB2312"/>
                <w:sz w:val="21"/>
              </w:rPr>
              <w:t>为深入贯彻落实《教育强国建设规划纲要（2024—2035年）》，按照教育部等部门《关于加快推进教育数字化的意见》部署及《教育部办公厅关于组织实施数字化赋能教师发展行动的通知》的具体要求，结合陕西省教育数字化转型相关要求，以数智技术赋能教育教学改革，全面提升学校数智化应用水平与教师数字能力，特实施本培训项目。当前部分学校存在数智化资源梳理评估不足、应用机制不健全，教师在教、学、管、评、研、育场景中数智工具实操能力薄弱等问题，难以充分发挥数智技术育人效能。对学校管理团队与信息技术骨干教师而言，掌握数智应用指南研制方法、强化场景化实操能力，已成为推动学校数智化建设、适应教育变革的必然要求，更是落实教育数字化政策、培养数字时代人才的关键举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b/>
              </w:rPr>
              <w:t>三、项目培训时间安排</w:t>
            </w:r>
          </w:p>
          <w:p>
            <w:pPr>
              <w:pStyle w:val="null3"/>
            </w:pPr>
            <w:r>
              <w:rPr>
                <w:rFonts w:ascii="仿宋_GB2312" w:hAnsi="仿宋_GB2312" w:cs="仿宋_GB2312" w:eastAsia="仿宋_GB2312"/>
                <w:sz w:val="20"/>
              </w:rPr>
              <w:t>西安市中小学教师及校园长信息技术应用能力提升培训项目</w:t>
            </w:r>
          </w:p>
          <w:p>
            <w:pPr>
              <w:pStyle w:val="null3"/>
            </w:pPr>
            <w:r>
              <w:rPr>
                <w:rFonts w:ascii="仿宋_GB2312" w:hAnsi="仿宋_GB2312" w:cs="仿宋_GB2312" w:eastAsia="仿宋_GB2312"/>
                <w:sz w:val="21"/>
              </w:rPr>
              <w:t>培训人数：400人，培训时长：3天</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b/>
              </w:rPr>
              <w:t>四、项目需求</w:t>
            </w:r>
          </w:p>
          <w:p>
            <w:pPr>
              <w:pStyle w:val="null3"/>
            </w:pPr>
            <w:r>
              <w:rPr>
                <w:rFonts w:ascii="仿宋_GB2312" w:hAnsi="仿宋_GB2312" w:cs="仿宋_GB2312" w:eastAsia="仿宋_GB2312"/>
                <w:sz w:val="20"/>
              </w:rPr>
              <w:t>1.</w:t>
            </w:r>
            <w:r>
              <w:rPr>
                <w:rFonts w:ascii="仿宋_GB2312" w:hAnsi="仿宋_GB2312" w:cs="仿宋_GB2312" w:eastAsia="仿宋_GB2312"/>
                <w:sz w:val="20"/>
              </w:rPr>
              <w:t>培训对象：中小学校级管理团队、骨干教师等</w:t>
            </w:r>
          </w:p>
          <w:p>
            <w:pPr>
              <w:pStyle w:val="null3"/>
            </w:pPr>
            <w:r>
              <w:rPr>
                <w:rFonts w:ascii="仿宋_GB2312" w:hAnsi="仿宋_GB2312" w:cs="仿宋_GB2312" w:eastAsia="仿宋_GB2312"/>
                <w:sz w:val="20"/>
              </w:rPr>
              <w:t>2.</w:t>
            </w:r>
            <w:r>
              <w:rPr>
                <w:rFonts w:ascii="仿宋_GB2312" w:hAnsi="仿宋_GB2312" w:cs="仿宋_GB2312" w:eastAsia="仿宋_GB2312"/>
                <w:sz w:val="20"/>
              </w:rPr>
              <w:t>培训人数：400人。分批开展。</w:t>
            </w:r>
          </w:p>
          <w:p>
            <w:pPr>
              <w:pStyle w:val="null3"/>
            </w:pPr>
            <w:r>
              <w:rPr>
                <w:rFonts w:ascii="仿宋_GB2312" w:hAnsi="仿宋_GB2312" w:cs="仿宋_GB2312" w:eastAsia="仿宋_GB2312"/>
                <w:sz w:val="20"/>
              </w:rPr>
              <w:t>3.</w:t>
            </w:r>
            <w:r>
              <w:rPr>
                <w:rFonts w:ascii="仿宋_GB2312" w:hAnsi="仿宋_GB2312" w:cs="仿宋_GB2312" w:eastAsia="仿宋_GB2312"/>
                <w:sz w:val="20"/>
              </w:rPr>
              <w:t>培训时间：2025年12月31日之前</w:t>
            </w:r>
          </w:p>
          <w:p>
            <w:pPr>
              <w:pStyle w:val="null3"/>
            </w:pPr>
            <w:r>
              <w:rPr>
                <w:rFonts w:ascii="仿宋_GB2312" w:hAnsi="仿宋_GB2312" w:cs="仿宋_GB2312" w:eastAsia="仿宋_GB2312"/>
                <w:sz w:val="20"/>
              </w:rPr>
              <w:t>4.</w:t>
            </w:r>
            <w:r>
              <w:rPr>
                <w:rFonts w:ascii="仿宋_GB2312" w:hAnsi="仿宋_GB2312" w:cs="仿宋_GB2312" w:eastAsia="仿宋_GB2312"/>
                <w:sz w:val="20"/>
              </w:rPr>
              <w:t>培训形式：集中培训</w:t>
            </w:r>
          </w:p>
          <w:p>
            <w:pPr>
              <w:pStyle w:val="null3"/>
            </w:pPr>
            <w:r>
              <w:rPr>
                <w:rFonts w:ascii="仿宋_GB2312" w:hAnsi="仿宋_GB2312" w:cs="仿宋_GB2312" w:eastAsia="仿宋_GB2312"/>
                <w:sz w:val="20"/>
              </w:rPr>
              <w:t>5.</w:t>
            </w:r>
            <w:r>
              <w:rPr>
                <w:rFonts w:ascii="仿宋_GB2312" w:hAnsi="仿宋_GB2312" w:cs="仿宋_GB2312" w:eastAsia="仿宋_GB2312"/>
                <w:sz w:val="20"/>
              </w:rPr>
              <w:t>培训内容：学校管理团队聚焦数智应用指南研制与应用机制建设，指导参训人员分析学校现有数智化设备、设施、平台等资源，掌握资源梳理与评估方法，形成符合学校实际的数智应用指南，并构建学校推进数智应用的组织管理、考核激励等配套机制。</w:t>
            </w:r>
          </w:p>
          <w:p>
            <w:pPr>
              <w:pStyle w:val="null3"/>
            </w:pPr>
            <w:r>
              <w:rPr>
                <w:rFonts w:ascii="仿宋_GB2312" w:hAnsi="仿宋_GB2312" w:cs="仿宋_GB2312" w:eastAsia="仿宋_GB2312"/>
                <w:sz w:val="21"/>
              </w:rPr>
              <w:t>信息技术骨干教师围绕数智应用指南落地，重点培训数智化设备、设施、平台在教学创新、学生学习、校园管理、教学评价、教师教研、协同育人等场景的实操应用，提升骨干教师运用数智工具解决教育教学实际问题的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b/>
              </w:rPr>
              <w:t>五、服务要求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聚焦培训主题。认真研读教育部、省教育厅关于教育数字化转型及教师数字素养提升的文件要求，遵循学校管理团队、信息技术骨干教师的成长规律与岗位需求，以解决学校数智化应用痛点、提升参训人员数智能力为项目设计的出发点和落脚点，突出问题导向和成果导向，聚焦两类参训群体应具备的数智化核心素养与关键能力，分层构建培训课程体系，坚持应用为本，确保参训人员有成长感和获得感。</w:t>
            </w:r>
          </w:p>
          <w:p>
            <w:pPr>
              <w:pStyle w:val="null3"/>
            </w:pPr>
            <w:r>
              <w:rPr>
                <w:rFonts w:ascii="仿宋_GB2312" w:hAnsi="仿宋_GB2312" w:cs="仿宋_GB2312" w:eastAsia="仿宋_GB2312"/>
                <w:sz w:val="20"/>
              </w:rPr>
              <w:t>2.</w:t>
            </w:r>
            <w:r>
              <w:rPr>
                <w:rFonts w:ascii="仿宋_GB2312" w:hAnsi="仿宋_GB2312" w:cs="仿宋_GB2312" w:eastAsia="仿宋_GB2312"/>
                <w:sz w:val="20"/>
              </w:rPr>
              <w:t>完善教师培训内容。立足学校教育数字化发展实际及参训人员岗位职能，有针对性地设置培训课程，少理论讲解、重实践操作，注重数智应用指南研制方法、数智化设备设施平台实操技能等核心内容，加大具备学校数智化建设实战经验的一线专家授课比例。</w:t>
            </w:r>
          </w:p>
          <w:p>
            <w:pPr>
              <w:pStyle w:val="null3"/>
            </w:pPr>
            <w:r>
              <w:rPr>
                <w:rFonts w:ascii="仿宋_GB2312" w:hAnsi="仿宋_GB2312" w:cs="仿宋_GB2312" w:eastAsia="仿宋_GB2312"/>
                <w:sz w:val="20"/>
              </w:rPr>
              <w:t>3.</w:t>
            </w:r>
            <w:r>
              <w:rPr>
                <w:rFonts w:ascii="仿宋_GB2312" w:hAnsi="仿宋_GB2312" w:cs="仿宋_GB2312" w:eastAsia="仿宋_GB2312"/>
                <w:sz w:val="20"/>
              </w:rPr>
              <w:t>创新教师培训模式。要将互联网、大数据、人工智能等新技术融合运用到培训中，结合3天集中培训特点，实施“线上预习+线下集中研修+训后线上答疑”相结合，训前需求调研、训中实时互动指导、训后成果跟踪相统一的混合动态延伸培训新模式，增强培训的互动性与实效性。</w:t>
            </w:r>
          </w:p>
          <w:p>
            <w:pPr>
              <w:pStyle w:val="null3"/>
            </w:pPr>
            <w:r>
              <w:rPr>
                <w:rFonts w:ascii="仿宋_GB2312" w:hAnsi="仿宋_GB2312" w:cs="仿宋_GB2312" w:eastAsia="仿宋_GB2312"/>
                <w:sz w:val="21"/>
              </w:rPr>
              <w:t>4.</w:t>
            </w:r>
            <w:r>
              <w:rPr>
                <w:rFonts w:ascii="仿宋_GB2312" w:hAnsi="仿宋_GB2312" w:cs="仿宋_GB2312" w:eastAsia="仿宋_GB2312"/>
                <w:sz w:val="21"/>
              </w:rPr>
              <w:t>实施培训效果评估。按照项目要求，择优提供培训成果案例，通过分组成果汇报、参训人员培训反思提交等多种形式呈现培训效果，并将培训效果相关材料于培训结束一个月内提供给甲方，作为评估培训效果的重要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本项目采购标的所属行业为其他未列明行业。 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自合同签订之日起2025年12月31日之前完成本次所有服务工作完成。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服务期满，采购人组织验收。 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服务工作完成经采购人验收合格后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乙方应按合同约定时间完成各阶段合同义务，若发生延迟，乙方应向甲方支付合同总价款10%的违约金，且甲方有权单方解除本合同。但甲方书面同意延迟或因甲方原因导致延迟的，乙方不承担违约责任。 2.如甲方未能在本合同约定时间内支付款项，每延迟一天，甲方须向乙方承担迟延支付费用的0.5‰作为违约金，并将服务周期予以相应顺延。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提供自2024年9月1日以来已缴存的任意1个月的社会保障资金缴存单据或社保机构开具的社会保险参保缴费情况证明；依法不需要缴纳社会保障资金的供应商应提供相关证明文件。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提供自2024年9月1日以来已缴纳的任意1个月的依法缴纳税收的相关凭据(时间以税款所属日期为准)，凭据应有税务机关或代收机关的公章或业务专用章；依法免税或无须缴纳税收的供应商，应提供相应证明文件。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 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业绩一览表.docx 中小企业声明函 商务要求应答表.docx 其他材料及供应商认为有必要说明、阐述的事项.docx 响应文件封面 一般资格要求及特殊资格要求.docx 服务内容及要求应答表.docx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业绩一览表.docx 中小企业声明函 商务要求应答表.docx 其他材料及供应商认为有必要说明、阐述的事项.docx 响应文件封面 一般资格要求及特殊资格要求.docx 服务内容及要求应答表.docx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在满足磋商文件要求的前提下，根据供应商提供的课程培训方案①详细的培训计划；②课程安排；③专业（科目）安排计划；④对本项目的了解情况；⑤学员档案建立及管理；⑥培训的组织实施、培训形式、服务重点；⑦培训目标；⑧培训开展存在的问题、培训常见问题及解决办法；⑨教案完整性和规范性；⑩体现培训的主题和特色方案等完全符合项目实际情况的得40分，每有一项缺失扣4分，方案存在缺陷或错误的，每有一处扣0-2分，扣完为止。 注：缺陷或不足是指：①没有具体详细的阐述、不能有效落地执行和操作，不能保障项目高质量履约，实现采购目标；②存在项目名称、地点区域、适用的标准（方法）错误，语言错误或存在歧义，明显复制其他项目内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在满足磋商文件要求的前提下，根据供应商针对本项目制定的实施方案进行综合评审，包括但不限于①质量控制方案；②应急预案；③进度安排及保障方案；④现场服务支持措施；⑤教师培训团队管理方案；⑥人员配置与工作职责方案等完全符合项目实际情况的得24分，每有一项缺失扣4分，方案存在缺陷或错误的，每有一处扣0-2分，扣完为止。 注：缺陷或不足是指：①没有具体详细的阐述、不能有效落地执行和操作，不能保障项目高质量履约，实现采购目标；②存在项目名称、地点区域、适用的标准（方法）错误，语言错误或存在歧义，明显复制其他项目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 项目负责人1人：具有正高级职称（正高级教师或教授或研究员等）得5分。本项最多得5分。 2. 供应商为本项目拟定授课教师具有与本项目采购需求相关高级及以上职称，每有一名得4分，本项最多得12分。 注：1.人员不重复计分，提供相应职称证书复印件； 2.以上人员为本单位人员提供在职证明材料或在职承诺函，若为外聘人员的应附外聘协议或聘书；</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承诺内容全面、合理、可行，能完全满足采购人需求的，得3分；承诺内容较为全面、基本合理可行，能基本满足采购人需求的，得2分；内容不全、可行性较差的，得1分。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供应商2022年8月1日至今承担过类似项目业绩，每提供1份类似项目业绩得2分，最高得6分。弄虚作假者，取消其成交资格。（以加盖供应商公章的合同扫描件为准，日期以合同签订日期为准）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