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3A3DA2">
      <w:pPr>
        <w:pStyle w:val="10"/>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0"/>
        <w:jc w:val="center"/>
        <w:textAlignment w:val="auto"/>
        <w:outlineLvl w:val="0"/>
        <w:rPr>
          <w:rFonts w:hint="eastAsia" w:ascii="仿宋" w:eastAsia="仿宋" w:cs="仿宋"/>
          <w:b/>
          <w:kern w:val="2"/>
          <w:sz w:val="44"/>
          <w:szCs w:val="44"/>
          <w:highlight w:val="none"/>
          <w:lang w:val="en-US" w:eastAsia="zh-CN"/>
        </w:rPr>
      </w:pPr>
      <w:r>
        <w:rPr>
          <w:rFonts w:hint="eastAsia" w:ascii="仿宋" w:eastAsia="仿宋" w:cs="仿宋"/>
          <w:b/>
          <w:kern w:val="2"/>
          <w:sz w:val="44"/>
          <w:szCs w:val="44"/>
          <w:highlight w:val="none"/>
          <w:lang w:val="en-US" w:eastAsia="zh-CN"/>
        </w:rPr>
        <w:t xml:space="preserve"> </w:t>
      </w:r>
      <w:bookmarkStart w:id="0" w:name="_Toc24676"/>
      <w:r>
        <w:rPr>
          <w:rFonts w:hint="eastAsia" w:ascii="仿宋" w:eastAsia="仿宋" w:cs="仿宋"/>
          <w:b/>
          <w:kern w:val="2"/>
          <w:sz w:val="44"/>
          <w:szCs w:val="44"/>
          <w:highlight w:val="none"/>
          <w:lang w:val="en-US" w:eastAsia="zh-CN"/>
        </w:rPr>
        <w:t>拟签订的合同文本</w:t>
      </w:r>
      <w:bookmarkEnd w:id="0"/>
    </w:p>
    <w:p w14:paraId="2669EBEF">
      <w:pPr>
        <w:pStyle w:val="10"/>
        <w:keepNext w:val="0"/>
        <w:keepLines w:val="0"/>
        <w:pageBreakBefore w:val="0"/>
        <w:kinsoku/>
        <w:overflowPunct/>
        <w:topLinePunct w:val="0"/>
        <w:autoSpaceDE/>
        <w:autoSpaceDN/>
        <w:bidi w:val="0"/>
        <w:adjustRightInd/>
        <w:snapToGrid/>
        <w:spacing w:line="360" w:lineRule="auto"/>
        <w:ind w:firstLine="48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注：本合同作为合同的基本格式，采购人有权在签订合同时对合同的相关条款及内容作进一步的细化和修改，但不得改变磋商文件及磋商响应文件、成交通知书规定的实质性内容）</w:t>
      </w:r>
    </w:p>
    <w:p w14:paraId="414C11D1">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采购人（以下称“甲方”）：</w:t>
      </w:r>
      <w:r>
        <w:rPr>
          <w:rFonts w:hint="eastAsia" w:ascii="仿宋" w:hAnsi="仿宋" w:eastAsia="仿宋" w:cs="仿宋"/>
          <w:color w:val="auto"/>
          <w:sz w:val="24"/>
          <w:szCs w:val="24"/>
          <w:highlight w:val="none"/>
          <w:u w:val="single"/>
          <w:lang w:val="en-US" w:eastAsia="zh-CN"/>
        </w:rPr>
        <w:t xml:space="preserve"> 西安市教育局 </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rPr>
        <w:t xml:space="preserve">                                        </w:t>
      </w:r>
    </w:p>
    <w:p w14:paraId="29795BEE">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西安市凤城八路109号市政府6号楼</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 xml:space="preserve"> </w:t>
      </w:r>
      <w:r>
        <w:rPr>
          <w:rFonts w:hint="eastAsia" w:ascii="仿宋" w:hAnsi="仿宋" w:eastAsia="仿宋" w:cs="仿宋"/>
          <w:color w:val="auto"/>
          <w:sz w:val="24"/>
          <w:szCs w:val="24"/>
          <w:highlight w:val="none"/>
        </w:rPr>
        <w:t xml:space="preserve">                                                           </w:t>
      </w:r>
    </w:p>
    <w:p w14:paraId="316D52A4">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联系方式：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14:paraId="2970D6CA">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供应商（以下称“乙方”）：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 xml:space="preserve">  </w:t>
      </w:r>
      <w:r>
        <w:rPr>
          <w:rFonts w:hint="eastAsia" w:ascii="仿宋" w:hAnsi="仿宋" w:eastAsia="仿宋" w:cs="仿宋"/>
          <w:color w:val="auto"/>
          <w:sz w:val="24"/>
          <w:szCs w:val="24"/>
          <w:highlight w:val="none"/>
        </w:rPr>
        <w:t xml:space="preserve">                                       </w:t>
      </w:r>
    </w:p>
    <w:p w14:paraId="2DF649E0">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117C9583">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联系方式：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02CBD196">
      <w:pPr>
        <w:pStyle w:val="10"/>
        <w:keepNext w:val="0"/>
        <w:keepLines w:val="0"/>
        <w:pageBreakBefore w:val="0"/>
        <w:kinsoku/>
        <w:overflowPunct/>
        <w:topLinePunct w:val="0"/>
        <w:bidi w:val="0"/>
        <w:adjustRightInd/>
        <w:snapToGrid/>
        <w:spacing w:line="360" w:lineRule="auto"/>
        <w:ind w:firstLine="468" w:firstLineChars="19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根据《中华人民共和国政府采购法》及实施条例、《中华人民共和国民法典》和甲方采购项目</w:t>
      </w:r>
      <w:r>
        <w:rPr>
          <w:rFonts w:hint="eastAsia" w:ascii="仿宋" w:hAnsi="仿宋" w:eastAsia="仿宋" w:cs="仿宋"/>
          <w:color w:val="auto"/>
          <w:sz w:val="24"/>
          <w:szCs w:val="24"/>
          <w:highlight w:val="none"/>
          <w:u w:val="single"/>
        </w:rPr>
        <w:t>（采购项目编号：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竞争性</w:t>
      </w:r>
      <w:r>
        <w:rPr>
          <w:rFonts w:hint="eastAsia" w:ascii="仿宋" w:hAnsi="仿宋" w:eastAsia="仿宋" w:cs="仿宋"/>
          <w:color w:val="auto"/>
          <w:sz w:val="24"/>
          <w:szCs w:val="24"/>
          <w:highlight w:val="none"/>
        </w:rPr>
        <w:t>磋商文件、</w:t>
      </w:r>
      <w:r>
        <w:rPr>
          <w:rFonts w:hint="eastAsia" w:ascii="仿宋" w:hAnsi="仿宋" w:eastAsia="仿宋" w:cs="仿宋"/>
          <w:color w:val="auto"/>
          <w:sz w:val="24"/>
          <w:szCs w:val="24"/>
          <w:highlight w:val="none"/>
          <w:lang w:val="en-US" w:eastAsia="zh-CN"/>
        </w:rPr>
        <w:t>乙方递交的</w:t>
      </w:r>
      <w:r>
        <w:rPr>
          <w:rFonts w:hint="eastAsia" w:ascii="仿宋" w:hAnsi="仿宋" w:eastAsia="仿宋" w:cs="仿宋"/>
          <w:color w:val="auto"/>
          <w:sz w:val="24"/>
          <w:szCs w:val="24"/>
          <w:highlight w:val="none"/>
        </w:rPr>
        <w:t>响应文件等有关规定，为确保甲方采购项目的顺利实施，甲、乙双方在平等自愿原则下签订本合同，并共同遵守如下条款：</w:t>
      </w:r>
    </w:p>
    <w:p w14:paraId="28E686C0">
      <w:pPr>
        <w:keepNext w:val="0"/>
        <w:keepLines w:val="0"/>
        <w:pageBreakBefore w:val="0"/>
        <w:numPr>
          <w:ilvl w:val="0"/>
          <w:numId w:val="1"/>
        </w:numPr>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bookmarkStart w:id="1" w:name="_Toc8233"/>
      <w:bookmarkStart w:id="2" w:name="_Toc1140"/>
      <w:r>
        <w:rPr>
          <w:rFonts w:hint="eastAsia" w:ascii="仿宋" w:hAnsi="仿宋" w:eastAsia="仿宋" w:cs="仿宋"/>
          <w:b/>
          <w:bCs w:val="0"/>
          <w:color w:val="auto"/>
          <w:sz w:val="24"/>
          <w:szCs w:val="24"/>
          <w:highlight w:val="none"/>
          <w:lang w:val="en-US" w:eastAsia="zh-CN"/>
        </w:rPr>
        <w:t>合同采购内容</w:t>
      </w:r>
      <w:bookmarkEnd w:id="1"/>
      <w:bookmarkEnd w:id="2"/>
    </w:p>
    <w:tbl>
      <w:tblPr>
        <w:tblStyle w:val="7"/>
        <w:tblW w:w="9888" w:type="dxa"/>
        <w:tblInd w:w="-15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87"/>
        <w:gridCol w:w="1320"/>
        <w:gridCol w:w="1920"/>
        <w:gridCol w:w="771"/>
        <w:gridCol w:w="885"/>
        <w:gridCol w:w="1604"/>
        <w:gridCol w:w="1258"/>
        <w:gridCol w:w="1243"/>
      </w:tblGrid>
      <w:tr w14:paraId="6F382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8" w:hRule="atLeast"/>
          <w:tblHeader/>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0E8E43E1">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品目</w:t>
            </w:r>
          </w:p>
          <w:p w14:paraId="7220F268">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lang w:val="en-US"/>
              </w:rPr>
            </w:pPr>
            <w:r>
              <w:rPr>
                <w:rFonts w:hint="eastAsia" w:ascii="仿宋" w:hAnsi="仿宋" w:eastAsia="仿宋" w:cs="仿宋"/>
                <w:b/>
                <w:bCs/>
                <w:color w:val="auto"/>
                <w:kern w:val="0"/>
                <w:sz w:val="24"/>
                <w:szCs w:val="24"/>
                <w:highlight w:val="none"/>
                <w:lang w:val="en-US" w:eastAsia="zh-CN" w:bidi="ar"/>
              </w:rPr>
              <w:t>编码</w:t>
            </w:r>
          </w:p>
        </w:tc>
        <w:tc>
          <w:tcPr>
            <w:tcW w:w="13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1F80B456">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品目</w:t>
            </w:r>
          </w:p>
          <w:p w14:paraId="4DBDD8D7">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名称</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70839033">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采购</w:t>
            </w:r>
          </w:p>
          <w:p w14:paraId="210C0731">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标的</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9C217EF">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采购数量</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660B4535">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计量</w:t>
            </w:r>
          </w:p>
          <w:p w14:paraId="14D1E311">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单位</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098AF493">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lang w:val="en-US"/>
              </w:rPr>
            </w:pPr>
            <w:r>
              <w:rPr>
                <w:rFonts w:hint="eastAsia" w:ascii="仿宋" w:hAnsi="仿宋" w:eastAsia="仿宋" w:cs="仿宋"/>
                <w:b/>
                <w:bCs/>
                <w:color w:val="auto"/>
                <w:kern w:val="0"/>
                <w:sz w:val="24"/>
                <w:szCs w:val="24"/>
                <w:highlight w:val="none"/>
                <w:lang w:val="en-US" w:eastAsia="zh-CN" w:bidi="ar"/>
              </w:rPr>
              <w:t>服务范围</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16AEE94C">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单价</w:t>
            </w:r>
          </w:p>
          <w:p w14:paraId="1BB61CD4">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(元)</w:t>
            </w: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2992B7D">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总金额（元）</w:t>
            </w:r>
          </w:p>
        </w:tc>
      </w:tr>
      <w:tr w14:paraId="7B04C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47" w:hRule="atLeast"/>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110FC234">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color w:val="auto"/>
                <w:sz w:val="24"/>
                <w:szCs w:val="24"/>
                <w:highlight w:val="none"/>
                <w:lang w:val="en-US"/>
              </w:rPr>
            </w:pPr>
            <w:r>
              <w:rPr>
                <w:rFonts w:hint="eastAsia" w:ascii="仿宋" w:hAnsi="仿宋" w:eastAsia="仿宋" w:cs="仿宋"/>
                <w:color w:val="auto"/>
                <w:kern w:val="0"/>
                <w:sz w:val="24"/>
                <w:szCs w:val="24"/>
                <w:highlight w:val="none"/>
                <w:lang w:val="en-US" w:eastAsia="zh-CN" w:bidi="ar"/>
              </w:rPr>
              <w:t>1-1</w:t>
            </w:r>
          </w:p>
        </w:tc>
        <w:tc>
          <w:tcPr>
            <w:tcW w:w="13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649ABA6">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培训服务</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67B2902A">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西安市中小学教师及校园长信息技术应用能力提升培训项目</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F9247A8">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1</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6FD3D040">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项</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603699DC">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西安市中小学教师及校园长信息技术应用能力提升培训</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6AB2DF7A">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color w:val="auto"/>
                <w:sz w:val="24"/>
                <w:szCs w:val="24"/>
                <w:highlight w:val="none"/>
                <w:lang w:val="en-US"/>
              </w:rPr>
            </w:pP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6A592BA8">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right"/>
              <w:textAlignment w:val="center"/>
              <w:rPr>
                <w:rFonts w:hint="eastAsia" w:ascii="仿宋" w:hAnsi="仿宋" w:eastAsia="仿宋" w:cs="仿宋"/>
                <w:i w:val="0"/>
                <w:iCs w:val="0"/>
                <w:caps w:val="0"/>
                <w:color w:val="0000FF"/>
                <w:spacing w:val="0"/>
                <w:sz w:val="24"/>
                <w:szCs w:val="24"/>
                <w:highlight w:val="none"/>
                <w:shd w:val="clear" w:fill="FFFFFF"/>
                <w:vertAlign w:val="baseline"/>
                <w:lang w:val="en-US" w:eastAsia="zh-CN"/>
              </w:rPr>
            </w:pPr>
          </w:p>
        </w:tc>
      </w:tr>
    </w:tbl>
    <w:p w14:paraId="35D4986B">
      <w:pPr>
        <w:pStyle w:val="11"/>
        <w:keepNext w:val="0"/>
        <w:keepLines w:val="0"/>
        <w:pageBreakBefore w:val="0"/>
        <w:numPr>
          <w:ilvl w:val="0"/>
          <w:numId w:val="0"/>
        </w:numPr>
        <w:kinsoku/>
        <w:overflowPunct/>
        <w:topLinePunct w:val="0"/>
        <w:bidi w:val="0"/>
        <w:adjustRightInd/>
        <w:snapToGrid/>
        <w:spacing w:line="360" w:lineRule="auto"/>
        <w:ind w:firstLine="480" w:firstLineChars="200"/>
        <w:rPr>
          <w:rFonts w:hint="eastAsia" w:ascii="仿宋" w:hAnsi="仿宋" w:eastAsia="仿宋" w:cs="仿宋"/>
          <w:color w:val="0000FF"/>
          <w:sz w:val="24"/>
          <w:szCs w:val="24"/>
          <w:highlight w:val="none"/>
          <w:u w:val="none"/>
          <w:lang w:val="en-US" w:eastAsia="zh-CN"/>
        </w:rPr>
      </w:pPr>
      <w:r>
        <w:rPr>
          <w:rFonts w:hint="eastAsia" w:ascii="仿宋" w:hAnsi="仿宋" w:eastAsia="仿宋" w:cs="仿宋"/>
          <w:sz w:val="24"/>
          <w:szCs w:val="24"/>
          <w:highlight w:val="none"/>
          <w:lang w:val="en-US" w:eastAsia="zh-CN"/>
        </w:rPr>
        <w:t>合计金额人民币（大写）：</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 xml:space="preserve"> </w:t>
      </w:r>
    </w:p>
    <w:p w14:paraId="159D263C">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3" w:name="_Toc22213"/>
      <w:bookmarkStart w:id="4" w:name="_Toc25937"/>
      <w:r>
        <w:rPr>
          <w:rFonts w:hint="eastAsia" w:ascii="仿宋" w:hAnsi="仿宋" w:eastAsia="仿宋" w:cs="仿宋"/>
          <w:b/>
          <w:bCs w:val="0"/>
          <w:color w:val="auto"/>
          <w:sz w:val="24"/>
          <w:szCs w:val="24"/>
          <w:highlight w:val="none"/>
        </w:rPr>
        <w:t>第</w:t>
      </w:r>
      <w:r>
        <w:rPr>
          <w:rFonts w:hint="eastAsia" w:ascii="仿宋" w:hAnsi="仿宋" w:eastAsia="仿宋" w:cs="仿宋"/>
          <w:b/>
          <w:bCs w:val="0"/>
          <w:color w:val="auto"/>
          <w:sz w:val="24"/>
          <w:szCs w:val="24"/>
          <w:highlight w:val="none"/>
          <w:lang w:val="en-US" w:eastAsia="zh-CN"/>
        </w:rPr>
        <w:t>二</w:t>
      </w:r>
      <w:r>
        <w:rPr>
          <w:rFonts w:hint="eastAsia" w:ascii="仿宋" w:hAnsi="仿宋" w:eastAsia="仿宋" w:cs="仿宋"/>
          <w:b/>
          <w:bCs w:val="0"/>
          <w:color w:val="auto"/>
          <w:sz w:val="24"/>
          <w:szCs w:val="24"/>
          <w:highlight w:val="none"/>
        </w:rPr>
        <w:t>条</w:t>
      </w:r>
      <w:r>
        <w:rPr>
          <w:rFonts w:hint="eastAsia" w:ascii="仿宋" w:hAnsi="仿宋" w:eastAsia="仿宋" w:cs="仿宋"/>
          <w:b/>
          <w:bCs w:val="0"/>
          <w:color w:val="auto"/>
          <w:sz w:val="24"/>
          <w:szCs w:val="24"/>
          <w:highlight w:val="none"/>
          <w:lang w:val="en-US" w:eastAsia="zh-CN"/>
        </w:rPr>
        <w:t xml:space="preserve"> 合同价款</w:t>
      </w:r>
      <w:bookmarkEnd w:id="3"/>
      <w:bookmarkEnd w:id="4"/>
    </w:p>
    <w:p w14:paraId="3E7A2127">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合同总价款</w:t>
      </w:r>
      <w:r>
        <w:rPr>
          <w:rFonts w:hint="eastAsia" w:ascii="仿宋" w:hAnsi="仿宋" w:eastAsia="仿宋" w:cs="仿宋"/>
          <w:color w:val="auto"/>
          <w:sz w:val="24"/>
          <w:szCs w:val="24"/>
          <w:highlight w:val="none"/>
        </w:rPr>
        <w:t>为人民币</w:t>
      </w:r>
      <w:r>
        <w:rPr>
          <w:rFonts w:hint="eastAsia" w:ascii="仿宋" w:hAnsi="仿宋" w:eastAsia="仿宋" w:cs="仿宋"/>
          <w:color w:val="auto"/>
          <w:sz w:val="24"/>
          <w:szCs w:val="24"/>
          <w:highlight w:val="none"/>
          <w:u w:val="single"/>
        </w:rPr>
        <w:t>（大写）：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p w14:paraId="3A22A47D">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2.本项目</w:t>
      </w:r>
      <w:r>
        <w:rPr>
          <w:rFonts w:hint="eastAsia" w:ascii="仿宋" w:hAnsi="仿宋" w:eastAsia="仿宋" w:cs="仿宋"/>
          <w:color w:val="auto"/>
          <w:sz w:val="24"/>
          <w:szCs w:val="24"/>
          <w:highlight w:val="none"/>
          <w:lang w:val="en-US" w:eastAsia="zh-CN"/>
        </w:rPr>
        <w:t>合同总价款</w:t>
      </w:r>
      <w:r>
        <w:rPr>
          <w:rFonts w:hint="eastAsia" w:ascii="仿宋" w:hAnsi="仿宋" w:eastAsia="仿宋" w:cs="仿宋"/>
          <w:color w:val="auto"/>
          <w:sz w:val="24"/>
          <w:szCs w:val="24"/>
          <w:highlight w:val="none"/>
        </w:rPr>
        <w:t>由以下组成：</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02CB5044">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3.甲方无须另向乙方支付本合同规定之外的其他任何费用</w:t>
      </w:r>
    </w:p>
    <w:p w14:paraId="52B0D453">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4.履约保证金：不涉及</w:t>
      </w:r>
    </w:p>
    <w:p w14:paraId="634EDD37">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bookmarkStart w:id="5" w:name="_Toc9422"/>
      <w:bookmarkStart w:id="6" w:name="_Toc4425"/>
      <w:r>
        <w:rPr>
          <w:rFonts w:hint="eastAsia" w:ascii="仿宋" w:hAnsi="仿宋" w:eastAsia="仿宋" w:cs="仿宋"/>
          <w:b/>
          <w:bCs w:val="0"/>
          <w:color w:val="auto"/>
          <w:sz w:val="24"/>
          <w:szCs w:val="24"/>
          <w:highlight w:val="none"/>
        </w:rPr>
        <w:t>第</w:t>
      </w:r>
      <w:r>
        <w:rPr>
          <w:rFonts w:hint="eastAsia" w:ascii="仿宋" w:hAnsi="仿宋" w:eastAsia="仿宋" w:cs="仿宋"/>
          <w:b/>
          <w:bCs w:val="0"/>
          <w:color w:val="auto"/>
          <w:sz w:val="24"/>
          <w:szCs w:val="24"/>
          <w:highlight w:val="none"/>
          <w:lang w:val="en-US" w:eastAsia="zh-CN"/>
        </w:rPr>
        <w:t>三</w:t>
      </w:r>
      <w:r>
        <w:rPr>
          <w:rFonts w:hint="eastAsia" w:ascii="仿宋" w:hAnsi="仿宋" w:eastAsia="仿宋" w:cs="仿宋"/>
          <w:b/>
          <w:bCs w:val="0"/>
          <w:color w:val="auto"/>
          <w:sz w:val="24"/>
          <w:szCs w:val="24"/>
          <w:highlight w:val="none"/>
        </w:rPr>
        <w:t xml:space="preserve">条  </w:t>
      </w:r>
      <w:r>
        <w:rPr>
          <w:rFonts w:hint="eastAsia" w:ascii="仿宋" w:hAnsi="仿宋" w:eastAsia="仿宋" w:cs="仿宋"/>
          <w:b/>
          <w:bCs w:val="0"/>
          <w:color w:val="auto"/>
          <w:sz w:val="24"/>
          <w:szCs w:val="24"/>
          <w:highlight w:val="none"/>
          <w:lang w:val="en-US" w:eastAsia="zh-CN"/>
        </w:rPr>
        <w:t>付款方式、时间及条件</w:t>
      </w:r>
      <w:bookmarkEnd w:id="5"/>
      <w:bookmarkEnd w:id="6"/>
    </w:p>
    <w:p w14:paraId="51E470AA">
      <w:pPr>
        <w:keepNext w:val="0"/>
        <w:keepLines w:val="0"/>
        <w:pageBreakBefore w:val="0"/>
        <w:widowControl w:val="0"/>
        <w:numPr>
          <w:ilvl w:val="0"/>
          <w:numId w:val="0"/>
        </w:numPr>
        <w:tabs>
          <w:tab w:val="left" w:pos="1379"/>
        </w:tabs>
        <w:kinsoku/>
        <w:wordWrap/>
        <w:overflowPunct/>
        <w:topLinePunct w:val="0"/>
        <w:bidi w:val="0"/>
        <w:adjustRightInd/>
        <w:snapToGrid/>
        <w:spacing w:line="360" w:lineRule="auto"/>
        <w:ind w:firstLine="480" w:firstLineChars="200"/>
        <w:textAlignment w:val="auto"/>
        <w:outlineLvl w:val="1"/>
        <w:rPr>
          <w:rFonts w:hint="eastAsia" w:ascii="仿宋" w:hAnsi="仿宋" w:eastAsia="仿宋" w:cs="仿宋"/>
          <w:color w:val="auto"/>
          <w:sz w:val="24"/>
          <w:szCs w:val="24"/>
          <w:highlight w:val="none"/>
          <w:lang w:val="en-US" w:eastAsia="zh-CN"/>
        </w:rPr>
      </w:pPr>
      <w:bookmarkStart w:id="7" w:name="_Toc29516"/>
      <w:bookmarkStart w:id="8" w:name="_Toc32672"/>
      <w:r>
        <w:rPr>
          <w:rFonts w:hint="eastAsia" w:ascii="仿宋" w:hAnsi="仿宋" w:eastAsia="仿宋" w:cs="仿宋"/>
          <w:color w:val="auto"/>
          <w:sz w:val="24"/>
          <w:szCs w:val="24"/>
          <w:highlight w:val="none"/>
          <w:lang w:val="en-US" w:eastAsia="zh-CN"/>
        </w:rPr>
        <w:t xml:space="preserve">采购包1： 付款条件说明： </w:t>
      </w:r>
      <w:bookmarkEnd w:id="7"/>
      <w:r>
        <w:rPr>
          <w:rFonts w:hint="eastAsia" w:ascii="仿宋" w:hAnsi="仿宋" w:eastAsia="仿宋" w:cs="仿宋"/>
          <w:color w:val="auto"/>
          <w:sz w:val="24"/>
          <w:szCs w:val="24"/>
          <w:highlight w:val="none"/>
          <w:lang w:val="en-US" w:eastAsia="zh-CN"/>
        </w:rPr>
        <w:t>服务工作完成经采购人验收合格后，达到付款条件起15日内，支付合同总金额的100.00%。</w:t>
      </w:r>
    </w:p>
    <w:p w14:paraId="2D3398D2">
      <w:pPr>
        <w:keepNext w:val="0"/>
        <w:keepLines w:val="0"/>
        <w:pageBreakBefore w:val="0"/>
        <w:widowControl w:val="0"/>
        <w:numPr>
          <w:ilvl w:val="0"/>
          <w:numId w:val="0"/>
        </w:numPr>
        <w:tabs>
          <w:tab w:val="left" w:pos="1379"/>
        </w:tabs>
        <w:kinsoku/>
        <w:wordWrap/>
        <w:overflowPunct/>
        <w:topLinePunct w:val="0"/>
        <w:bidi w:val="0"/>
        <w:adjustRightInd/>
        <w:snapToGrid/>
        <w:spacing w:line="360" w:lineRule="auto"/>
        <w:ind w:firstLine="482" w:firstLineChars="200"/>
        <w:textAlignment w:val="auto"/>
        <w:outlineLvl w:val="1"/>
        <w:rPr>
          <w:rFonts w:hint="eastAsia" w:ascii="仿宋" w:hAnsi="仿宋" w:eastAsia="仿宋" w:cs="仿宋"/>
          <w:b/>
          <w:bCs w:val="0"/>
          <w:color w:val="auto"/>
          <w:sz w:val="24"/>
          <w:szCs w:val="24"/>
          <w:highlight w:val="none"/>
          <w:lang w:val="en-US" w:eastAsia="zh-CN"/>
        </w:rPr>
      </w:pPr>
      <w:bookmarkStart w:id="9" w:name="_Toc6453"/>
      <w:r>
        <w:rPr>
          <w:rFonts w:hint="eastAsia" w:ascii="仿宋" w:hAnsi="仿宋" w:eastAsia="仿宋" w:cs="仿宋"/>
          <w:b/>
          <w:bCs w:val="0"/>
          <w:color w:val="auto"/>
          <w:sz w:val="24"/>
          <w:szCs w:val="24"/>
          <w:highlight w:val="none"/>
        </w:rPr>
        <w:t>第</w:t>
      </w:r>
      <w:r>
        <w:rPr>
          <w:rFonts w:hint="eastAsia" w:ascii="仿宋" w:hAnsi="仿宋" w:eastAsia="仿宋" w:cs="仿宋"/>
          <w:b/>
          <w:bCs w:val="0"/>
          <w:color w:val="auto"/>
          <w:sz w:val="24"/>
          <w:szCs w:val="24"/>
          <w:highlight w:val="none"/>
          <w:lang w:val="en-US" w:eastAsia="zh-CN"/>
        </w:rPr>
        <w:t>四</w:t>
      </w:r>
      <w:r>
        <w:rPr>
          <w:rFonts w:hint="eastAsia" w:ascii="仿宋" w:hAnsi="仿宋" w:eastAsia="仿宋" w:cs="仿宋"/>
          <w:b/>
          <w:bCs w:val="0"/>
          <w:color w:val="auto"/>
          <w:sz w:val="24"/>
          <w:szCs w:val="24"/>
          <w:highlight w:val="none"/>
        </w:rPr>
        <w:t xml:space="preserve">条 </w:t>
      </w:r>
      <w:r>
        <w:rPr>
          <w:rFonts w:hint="eastAsia" w:ascii="仿宋" w:hAnsi="仿宋" w:eastAsia="仿宋" w:cs="仿宋"/>
          <w:b/>
          <w:bCs w:val="0"/>
          <w:color w:val="auto"/>
          <w:sz w:val="24"/>
          <w:szCs w:val="24"/>
          <w:highlight w:val="none"/>
          <w:lang w:val="en-US" w:eastAsia="zh-CN"/>
        </w:rPr>
        <w:t>交付时间、地点、方式</w:t>
      </w:r>
      <w:bookmarkEnd w:id="8"/>
      <w:bookmarkEnd w:id="9"/>
    </w:p>
    <w:p w14:paraId="56CD790E">
      <w:pPr>
        <w:keepNext w:val="0"/>
        <w:keepLines w:val="0"/>
        <w:pageBreakBefore w:val="0"/>
        <w:widowControl w:val="0"/>
        <w:tabs>
          <w:tab w:val="left" w:pos="1379"/>
        </w:tabs>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sz w:val="24"/>
          <w:szCs w:val="24"/>
          <w:highlight w:val="none"/>
          <w:u w:val="single"/>
          <w:lang w:val="en-US" w:eastAsia="zh-CN"/>
        </w:rPr>
      </w:pPr>
      <w:bookmarkStart w:id="10" w:name="_Toc282696226"/>
      <w:bookmarkStart w:id="11" w:name="_Toc237145406"/>
      <w:bookmarkStart w:id="12" w:name="_Toc247334841"/>
      <w:bookmarkStart w:id="13" w:name="_Toc239233914"/>
      <w:bookmarkStart w:id="14" w:name="_Toc211911348"/>
      <w:bookmarkStart w:id="15" w:name="_Toc238984975"/>
      <w:bookmarkStart w:id="16" w:name="_Toc225244852"/>
      <w:bookmarkStart w:id="17" w:name="_Toc239568418"/>
      <w:bookmarkStart w:id="18" w:name="_Toc225670751"/>
      <w:bookmarkStart w:id="19" w:name="_Toc283019214"/>
      <w:bookmarkStart w:id="20" w:name="_Toc212019594"/>
      <w:bookmarkStart w:id="21" w:name="_Toc241833903"/>
      <w:bookmarkStart w:id="22" w:name="_Toc232492928"/>
      <w:bookmarkStart w:id="23" w:name="_Toc185395249"/>
      <w:bookmarkStart w:id="24" w:name="_Toc251768862"/>
      <w:bookmarkStart w:id="25" w:name="_Toc211854449"/>
      <w:bookmarkStart w:id="26" w:name="_Toc286993786"/>
      <w:bookmarkStart w:id="27" w:name="_Toc225654644"/>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.交付时间</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自合同签订之日起2025年12月31日之前完成本次所有服务工作完成</w:t>
      </w:r>
      <w:r>
        <w:rPr>
          <w:rFonts w:hint="eastAsia" w:ascii="仿宋" w:hAnsi="仿宋" w:eastAsia="仿宋" w:cs="仿宋"/>
          <w:color w:val="auto"/>
          <w:sz w:val="24"/>
          <w:szCs w:val="24"/>
          <w:highlight w:val="none"/>
          <w:u w:val="single"/>
          <w:lang w:val="en-US" w:eastAsia="zh-CN"/>
        </w:rPr>
        <w:t xml:space="preserve"> </w:t>
      </w:r>
    </w:p>
    <w:p w14:paraId="173BA27E">
      <w:pPr>
        <w:keepNext w:val="0"/>
        <w:keepLines w:val="0"/>
        <w:pageBreakBefore w:val="0"/>
        <w:widowControl w:val="0"/>
        <w:tabs>
          <w:tab w:val="left" w:pos="1379"/>
        </w:tabs>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.交付</w:t>
      </w:r>
      <w:r>
        <w:rPr>
          <w:rFonts w:hint="eastAsia" w:ascii="仿宋" w:hAnsi="仿宋" w:eastAsia="仿宋" w:cs="仿宋"/>
          <w:color w:val="auto"/>
          <w:sz w:val="24"/>
          <w:szCs w:val="24"/>
          <w:highlight w:val="none"/>
        </w:rPr>
        <w:t>地点：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甲方指定地点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1308ED38">
      <w:pPr>
        <w:pStyle w:val="11"/>
        <w:keepNext w:val="0"/>
        <w:keepLines w:val="0"/>
        <w:pageBreakBefore w:val="0"/>
        <w:widowControl w:val="0"/>
        <w:kinsoku/>
        <w:wordWrap/>
        <w:overflowPunct/>
        <w:topLinePunct w:val="0"/>
        <w:bidi w:val="0"/>
        <w:adjustRightInd/>
        <w:snapToGrid/>
        <w:spacing w:line="360" w:lineRule="auto"/>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3.交付条件：</w:t>
      </w:r>
      <w:r>
        <w:rPr>
          <w:rFonts w:hint="eastAsia" w:ascii="仿宋" w:hAnsi="仿宋" w:eastAsia="仿宋" w:cs="仿宋"/>
          <w:color w:val="auto"/>
          <w:sz w:val="24"/>
          <w:szCs w:val="24"/>
          <w:highlight w:val="none"/>
          <w:u w:val="single"/>
        </w:rPr>
        <w:t>本次所有服务工作完成</w:t>
      </w:r>
      <w:r>
        <w:rPr>
          <w:rFonts w:hint="eastAsia" w:ascii="仿宋" w:hAnsi="仿宋" w:eastAsia="仿宋" w:cs="仿宋"/>
          <w:color w:val="auto"/>
          <w:sz w:val="24"/>
          <w:szCs w:val="24"/>
          <w:highlight w:val="none"/>
          <w:u w:val="single"/>
          <w:lang w:val="en-US" w:eastAsia="zh-CN"/>
        </w:rPr>
        <w:t xml:space="preserve">                   </w:t>
      </w:r>
    </w:p>
    <w:p w14:paraId="192B2F35">
      <w:pPr>
        <w:pStyle w:val="11"/>
        <w:keepNext w:val="0"/>
        <w:keepLines w:val="0"/>
        <w:pageBreakBefore w:val="0"/>
        <w:widowControl w:val="0"/>
        <w:kinsoku/>
        <w:wordWrap/>
        <w:overflowPunct/>
        <w:topLinePunct w:val="0"/>
        <w:bidi w:val="0"/>
        <w:adjustRightInd/>
        <w:snapToGrid/>
        <w:spacing w:line="360" w:lineRule="auto"/>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none"/>
          <w:lang w:val="en-US" w:eastAsia="zh-CN"/>
        </w:rPr>
        <w:t>甲方联系人：</w:t>
      </w:r>
      <w:r>
        <w:rPr>
          <w:rFonts w:hint="eastAsia" w:ascii="仿宋" w:hAnsi="仿宋" w:eastAsia="仿宋" w:cs="仿宋"/>
          <w:color w:val="auto"/>
          <w:sz w:val="24"/>
          <w:szCs w:val="24"/>
          <w:highlight w:val="none"/>
          <w:u w:val="single"/>
          <w:lang w:val="en-US" w:eastAsia="zh-CN"/>
        </w:rPr>
        <w:t xml:space="preserve">      （姓名，联系方式）              </w:t>
      </w:r>
      <w:r>
        <w:rPr>
          <w:rFonts w:hint="eastAsia" w:ascii="仿宋" w:hAnsi="仿宋" w:eastAsia="仿宋" w:cs="仿宋"/>
          <w:color w:val="auto"/>
          <w:sz w:val="24"/>
          <w:szCs w:val="24"/>
          <w:highlight w:val="none"/>
          <w:lang w:val="en-US" w:eastAsia="zh-CN"/>
        </w:rPr>
        <w:t xml:space="preserve"> </w:t>
      </w:r>
    </w:p>
    <w:p w14:paraId="112E8A70">
      <w:pPr>
        <w:pStyle w:val="11"/>
        <w:keepNext w:val="0"/>
        <w:keepLines w:val="0"/>
        <w:pageBreakBefore w:val="0"/>
        <w:widowControl w:val="0"/>
        <w:kinsoku/>
        <w:wordWrap/>
        <w:overflowPunct/>
        <w:topLinePunct w:val="0"/>
        <w:bidi w:val="0"/>
        <w:adjustRightInd/>
        <w:snapToGrid/>
        <w:spacing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u w:val="none"/>
          <w:lang w:val="en-US" w:eastAsia="zh-CN"/>
        </w:rPr>
        <w:t>乙方联系人：</w:t>
      </w:r>
      <w:r>
        <w:rPr>
          <w:rFonts w:hint="eastAsia" w:ascii="仿宋" w:hAnsi="仿宋" w:eastAsia="仿宋" w:cs="仿宋"/>
          <w:color w:val="auto"/>
          <w:sz w:val="24"/>
          <w:szCs w:val="24"/>
          <w:highlight w:val="none"/>
          <w:u w:val="single"/>
          <w:lang w:val="en-US" w:eastAsia="zh-CN"/>
        </w:rPr>
        <w:t xml:space="preserve">      （姓名，联系方式）              </w:t>
      </w:r>
      <w:r>
        <w:rPr>
          <w:rFonts w:hint="eastAsia" w:ascii="仿宋" w:hAnsi="仿宋" w:eastAsia="仿宋" w:cs="仿宋"/>
          <w:color w:val="auto"/>
          <w:sz w:val="24"/>
          <w:szCs w:val="24"/>
          <w:highlight w:val="none"/>
          <w:lang w:val="en-US" w:eastAsia="zh-CN"/>
        </w:rPr>
        <w:t xml:space="preserve"> </w:t>
      </w:r>
    </w:p>
    <w:p w14:paraId="224BD88F">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bookmarkStart w:id="28" w:name="_Toc28705"/>
      <w:bookmarkStart w:id="29" w:name="_Toc21368"/>
      <w:r>
        <w:rPr>
          <w:rFonts w:hint="eastAsia" w:ascii="仿宋" w:hAnsi="仿宋" w:eastAsia="仿宋" w:cs="仿宋"/>
          <w:b/>
          <w:bCs w:val="0"/>
          <w:color w:val="auto"/>
          <w:sz w:val="24"/>
          <w:szCs w:val="24"/>
          <w:highlight w:val="none"/>
        </w:rPr>
        <w:t>第</w:t>
      </w:r>
      <w:r>
        <w:rPr>
          <w:rFonts w:hint="eastAsia" w:ascii="仿宋" w:hAnsi="仿宋" w:eastAsia="仿宋" w:cs="仿宋"/>
          <w:b/>
          <w:bCs w:val="0"/>
          <w:color w:val="auto"/>
          <w:sz w:val="24"/>
          <w:szCs w:val="24"/>
          <w:highlight w:val="none"/>
          <w:lang w:val="en-US" w:eastAsia="zh-CN"/>
        </w:rPr>
        <w:t>五</w:t>
      </w:r>
      <w:r>
        <w:rPr>
          <w:rFonts w:hint="eastAsia" w:ascii="仿宋" w:hAnsi="仿宋" w:eastAsia="仿宋" w:cs="仿宋"/>
          <w:b/>
          <w:bCs w:val="0"/>
          <w:color w:val="auto"/>
          <w:sz w:val="24"/>
          <w:szCs w:val="24"/>
          <w:highlight w:val="none"/>
        </w:rPr>
        <w:t>条</w:t>
      </w:r>
      <w:r>
        <w:rPr>
          <w:rFonts w:hint="eastAsia" w:ascii="仿宋" w:hAnsi="仿宋" w:eastAsia="仿宋" w:cs="仿宋"/>
          <w:b/>
          <w:bCs w:val="0"/>
          <w:color w:val="auto"/>
          <w:sz w:val="24"/>
          <w:szCs w:val="24"/>
          <w:highlight w:val="none"/>
          <w:lang w:val="en-US" w:eastAsia="zh-CN"/>
        </w:rPr>
        <w:t xml:space="preserve"> 质量保证及售后服务</w:t>
      </w:r>
      <w:bookmarkEnd w:id="28"/>
      <w:bookmarkEnd w:id="29"/>
    </w:p>
    <w:p w14:paraId="1F1EEAB9">
      <w:pPr>
        <w:pStyle w:val="10"/>
        <w:keepNext w:val="0"/>
        <w:keepLines w:val="0"/>
        <w:pageBreakBefore w:val="0"/>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质量保证</w:t>
      </w:r>
      <w:r>
        <w:rPr>
          <w:rFonts w:hint="eastAsia" w:ascii="仿宋" w:hAnsi="仿宋" w:eastAsia="仿宋" w:cs="仿宋"/>
          <w:color w:val="auto"/>
          <w:sz w:val="24"/>
          <w:szCs w:val="24"/>
          <w:highlight w:val="none"/>
        </w:rPr>
        <w:t>：乙方应保证所提供的服务，符合</w:t>
      </w:r>
      <w:r>
        <w:rPr>
          <w:rFonts w:hint="eastAsia" w:ascii="仿宋" w:hAnsi="仿宋" w:eastAsia="仿宋" w:cs="仿宋"/>
          <w:color w:val="auto"/>
          <w:sz w:val="24"/>
          <w:szCs w:val="24"/>
          <w:highlight w:val="none"/>
          <w:lang w:val="en-US" w:eastAsia="zh-CN"/>
        </w:rPr>
        <w:t>甲方的</w:t>
      </w:r>
      <w:r>
        <w:rPr>
          <w:rFonts w:hint="eastAsia" w:ascii="仿宋" w:hAnsi="仿宋" w:eastAsia="仿宋" w:cs="仿宋"/>
          <w:color w:val="auto"/>
          <w:sz w:val="24"/>
          <w:szCs w:val="24"/>
          <w:highlight w:val="none"/>
        </w:rPr>
        <w:t>要求。如不符时，乙方应负全责并尽快处理解决，由此造成的损失和相关费用由乙方负责，甲方保留终止合同及索赔的权利。</w:t>
      </w:r>
    </w:p>
    <w:p w14:paraId="0765CE69">
      <w:pPr>
        <w:pStyle w:val="10"/>
        <w:keepNext w:val="0"/>
        <w:keepLines w:val="0"/>
        <w:pageBreakBefore w:val="0"/>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售后服务：</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14:paraId="00B26DD6">
      <w:pPr>
        <w:pStyle w:val="10"/>
        <w:keepNext w:val="0"/>
        <w:keepLines w:val="0"/>
        <w:pageBreakBefore w:val="0"/>
        <w:numPr>
          <w:ilvl w:val="0"/>
          <w:numId w:val="2"/>
        </w:numPr>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color w:val="auto"/>
          <w:sz w:val="24"/>
          <w:szCs w:val="24"/>
          <w:highlight w:val="none"/>
        </w:rPr>
        <w:t xml:space="preserve"> </w:t>
      </w:r>
      <w:bookmarkStart w:id="30" w:name="_Toc27776"/>
      <w:bookmarkStart w:id="31" w:name="_Toc1932"/>
      <w:r>
        <w:rPr>
          <w:rFonts w:hint="eastAsia" w:ascii="仿宋" w:hAnsi="仿宋" w:eastAsia="仿宋" w:cs="仿宋"/>
          <w:b/>
          <w:bCs w:val="0"/>
          <w:color w:val="auto"/>
          <w:sz w:val="24"/>
          <w:szCs w:val="24"/>
          <w:highlight w:val="none"/>
          <w:lang w:val="en-US" w:eastAsia="zh-CN"/>
        </w:rPr>
        <w:t>验收</w:t>
      </w:r>
      <w:bookmarkEnd w:id="30"/>
      <w:bookmarkEnd w:id="31"/>
    </w:p>
    <w:p w14:paraId="23AF32E0">
      <w:pPr>
        <w:pStyle w:val="10"/>
        <w:keepNext w:val="0"/>
        <w:keepLines w:val="0"/>
        <w:pageBreakBefore w:val="0"/>
        <w:numPr>
          <w:ilvl w:val="0"/>
          <w:numId w:val="0"/>
        </w:numPr>
        <w:kinsoku/>
        <w:overflowPunct/>
        <w:topLinePunct w:val="0"/>
        <w:bidi w:val="0"/>
        <w:adjustRightInd/>
        <w:snapToGrid/>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乙方完成服务后应及时通知甲方进行验收。验收合格的，甲方在验收合格单上签字；验收不合格的，乙方应当在7日内进行返工或调整，并重新提交甲方验收。</w:t>
      </w:r>
    </w:p>
    <w:p w14:paraId="5775C334">
      <w:pPr>
        <w:pStyle w:val="10"/>
        <w:keepNext w:val="0"/>
        <w:keepLines w:val="0"/>
        <w:pageBreakBefore w:val="0"/>
        <w:numPr>
          <w:ilvl w:val="0"/>
          <w:numId w:val="0"/>
        </w:numPr>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32" w:name="_Toc19571"/>
      <w:bookmarkStart w:id="33" w:name="_Toc27692"/>
      <w:r>
        <w:rPr>
          <w:rFonts w:hint="eastAsia" w:ascii="仿宋" w:hAnsi="仿宋" w:eastAsia="仿宋" w:cs="仿宋"/>
          <w:b/>
          <w:bCs w:val="0"/>
          <w:color w:val="auto"/>
          <w:sz w:val="24"/>
          <w:szCs w:val="24"/>
          <w:highlight w:val="none"/>
        </w:rPr>
        <w:t>第七条  无产权瑕疵条款</w:t>
      </w:r>
      <w:bookmarkEnd w:id="32"/>
      <w:bookmarkEnd w:id="33"/>
    </w:p>
    <w:p w14:paraId="45231F6F">
      <w:pPr>
        <w:keepNext w:val="0"/>
        <w:keepLines w:val="0"/>
        <w:pageBreakBefore w:val="0"/>
        <w:tabs>
          <w:tab w:val="left" w:pos="1440"/>
        </w:tabs>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乙方保证所提供的服务的所有权完全属于乙方且无任何抵押、查封等产权瑕疵。如有产权瑕疵的，视为乙方违约。乙方应负担由此而产生的一切损失。</w:t>
      </w:r>
    </w:p>
    <w:p w14:paraId="36FAB12A">
      <w:pPr>
        <w:keepNext w:val="0"/>
        <w:keepLines w:val="0"/>
        <w:pageBreakBefore w:val="0"/>
        <w:kinsoku/>
        <w:overflowPunct/>
        <w:topLinePunct w:val="0"/>
        <w:bidi w:val="0"/>
        <w:adjustRightInd/>
        <w:snapToGrid/>
        <w:spacing w:line="360" w:lineRule="auto"/>
        <w:ind w:firstLine="482" w:firstLineChars="200"/>
        <w:textAlignment w:val="baseline"/>
        <w:outlineLvl w:val="1"/>
        <w:rPr>
          <w:rFonts w:hint="eastAsia" w:ascii="仿宋" w:hAnsi="仿宋" w:eastAsia="仿宋" w:cs="仿宋"/>
          <w:b/>
          <w:bCs w:val="0"/>
          <w:color w:val="auto"/>
          <w:sz w:val="24"/>
          <w:szCs w:val="24"/>
          <w:highlight w:val="none"/>
        </w:rPr>
      </w:pPr>
      <w:bookmarkStart w:id="34" w:name="_Toc12634"/>
      <w:bookmarkStart w:id="35" w:name="_Toc32612"/>
      <w:r>
        <w:rPr>
          <w:rFonts w:hint="eastAsia" w:ascii="仿宋" w:hAnsi="仿宋" w:eastAsia="仿宋" w:cs="仿宋"/>
          <w:b/>
          <w:bCs w:val="0"/>
          <w:color w:val="auto"/>
          <w:sz w:val="24"/>
          <w:szCs w:val="24"/>
          <w:highlight w:val="none"/>
        </w:rPr>
        <w:t>第八条  甲方的权利和义务</w:t>
      </w:r>
      <w:bookmarkEnd w:id="34"/>
      <w:bookmarkEnd w:id="35"/>
    </w:p>
    <w:p w14:paraId="54A7FD4A">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65445555">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2.甲方有权依据双方签订的考评办法对乙方提供的服务进行定期考评。当考评结果未达到标准时，有权依据考评办法约定的数额扣除履约保证金。</w:t>
      </w:r>
    </w:p>
    <w:p w14:paraId="6E09B29E">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3.负责检查监督乙方管理工作的实施及制度的执行情况。</w:t>
      </w:r>
    </w:p>
    <w:p w14:paraId="6DE40769">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4.根据本合同规定，按时向乙方支付应付服务费用。</w:t>
      </w:r>
    </w:p>
    <w:p w14:paraId="5663E38E">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5.国家法律、法规所规定由甲方承担的其它责任。</w:t>
      </w:r>
    </w:p>
    <w:p w14:paraId="5BDD467D">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36" w:name="_Toc30562"/>
      <w:r>
        <w:rPr>
          <w:rFonts w:hint="eastAsia" w:ascii="仿宋" w:hAnsi="仿宋" w:eastAsia="仿宋" w:cs="仿宋"/>
          <w:b/>
          <w:bCs w:val="0"/>
          <w:color w:val="auto"/>
          <w:sz w:val="24"/>
          <w:szCs w:val="24"/>
          <w:highlight w:val="none"/>
          <w:lang w:val="en-US" w:eastAsia="zh-CN"/>
        </w:rPr>
        <w:t>第九</w:t>
      </w:r>
      <w:r>
        <w:rPr>
          <w:rFonts w:hint="eastAsia" w:ascii="仿宋" w:hAnsi="仿宋" w:eastAsia="仿宋" w:cs="仿宋"/>
          <w:b/>
          <w:bCs w:val="0"/>
          <w:color w:val="auto"/>
          <w:sz w:val="24"/>
          <w:szCs w:val="24"/>
          <w:highlight w:val="none"/>
        </w:rPr>
        <w:t>条  乙方的权利和义务</w:t>
      </w:r>
      <w:bookmarkEnd w:id="36"/>
    </w:p>
    <w:p w14:paraId="3FD4DB96">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1.对本合同规定的委托服务范围内的项目享有管理权及服务义务。</w:t>
      </w:r>
    </w:p>
    <w:p w14:paraId="5E140BEE">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2.根据本合同的规定向甲方收取相关服务费用，并有权在本项目管理范围内管理及合理使用。</w:t>
      </w:r>
    </w:p>
    <w:p w14:paraId="2A014282">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3.及时向甲方通告本项目服务范围内有关服务的重大事项，及时配合处理投诉。</w:t>
      </w:r>
    </w:p>
    <w:p w14:paraId="54F4DCD1">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bCs/>
          <w:color w:val="auto"/>
          <w:sz w:val="24"/>
          <w:szCs w:val="24"/>
          <w:highlight w:val="none"/>
        </w:rPr>
        <w:t>接受项目行业管理部门及政府有关部门的指导，接受甲方的监督。</w:t>
      </w:r>
    </w:p>
    <w:p w14:paraId="01AAF3DA">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5.国家法律、法规所规定由乙方承担的其它责任。</w:t>
      </w:r>
    </w:p>
    <w:p w14:paraId="3A78B071">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37" w:name="_Toc29819"/>
      <w:bookmarkStart w:id="38" w:name="_Toc23461"/>
      <w:r>
        <w:rPr>
          <w:rFonts w:hint="eastAsia" w:ascii="仿宋" w:hAnsi="仿宋" w:eastAsia="仿宋" w:cs="仿宋"/>
          <w:b/>
          <w:bCs w:val="0"/>
          <w:color w:val="auto"/>
          <w:sz w:val="24"/>
          <w:szCs w:val="24"/>
          <w:highlight w:val="none"/>
        </w:rPr>
        <w:t>第十条  违约责任</w:t>
      </w:r>
      <w:bookmarkEnd w:id="37"/>
      <w:bookmarkEnd w:id="38"/>
    </w:p>
    <w:p w14:paraId="30A7D984">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1.甲乙双方必须遵守本合同并执行合同中的各项规定，保证本合同的正常履行。</w:t>
      </w:r>
    </w:p>
    <w:p w14:paraId="5B026244">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依据《中华人民共和国民法典》《中华人民共和国政府采购法》的相关条款规定和本合同约定，乙方未全面履行合同义务或者发生违约，甲方有权终止合同，依法向乙方进行经济索赔，并报请政府采购监督管理机关依法进行相应的行政处罚。甲方违约的，应当赔偿给乙方造成的经济损失。</w:t>
      </w:r>
    </w:p>
    <w:p w14:paraId="0B1C88A9">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39" w:name="_Toc26263"/>
      <w:bookmarkStart w:id="40" w:name="_Toc20912"/>
      <w:r>
        <w:rPr>
          <w:rFonts w:hint="eastAsia" w:ascii="仿宋" w:hAnsi="仿宋" w:eastAsia="仿宋" w:cs="仿宋"/>
          <w:b/>
          <w:bCs w:val="0"/>
          <w:color w:val="auto"/>
          <w:sz w:val="24"/>
          <w:szCs w:val="24"/>
          <w:highlight w:val="none"/>
        </w:rPr>
        <w:t>第十</w:t>
      </w:r>
      <w:r>
        <w:rPr>
          <w:rFonts w:hint="eastAsia" w:ascii="仿宋" w:hAnsi="仿宋" w:eastAsia="仿宋" w:cs="仿宋"/>
          <w:b/>
          <w:bCs w:val="0"/>
          <w:color w:val="auto"/>
          <w:sz w:val="24"/>
          <w:szCs w:val="24"/>
          <w:highlight w:val="none"/>
          <w:lang w:val="en-US" w:eastAsia="zh-CN"/>
        </w:rPr>
        <w:t>一</w:t>
      </w:r>
      <w:r>
        <w:rPr>
          <w:rFonts w:hint="eastAsia" w:ascii="仿宋" w:hAnsi="仿宋" w:eastAsia="仿宋" w:cs="仿宋"/>
          <w:b/>
          <w:bCs w:val="0"/>
          <w:color w:val="auto"/>
          <w:sz w:val="24"/>
          <w:szCs w:val="24"/>
          <w:highlight w:val="none"/>
        </w:rPr>
        <w:t>条  不可抗力事件处理</w:t>
      </w:r>
      <w:bookmarkEnd w:id="39"/>
      <w:bookmarkEnd w:id="40"/>
    </w:p>
    <w:p w14:paraId="5884E536">
      <w:pPr>
        <w:keepNext w:val="0"/>
        <w:keepLines w:val="0"/>
        <w:pageBreakBefore w:val="0"/>
        <w:tabs>
          <w:tab w:val="left" w:pos="0"/>
        </w:tabs>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1.在合同有效期内，任何一方因不可抗力事件导致不能履行合同，则合同履行期可延长，其延长期与不可抗力影响期相同。</w:t>
      </w:r>
    </w:p>
    <w:p w14:paraId="18C2DB67">
      <w:pPr>
        <w:keepNext w:val="0"/>
        <w:keepLines w:val="0"/>
        <w:pageBreakBefore w:val="0"/>
        <w:tabs>
          <w:tab w:val="left" w:pos="0"/>
        </w:tabs>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2.不可抗力事件发生后，应立即通知对方，并寄送有关权威机构出具的证明。</w:t>
      </w:r>
    </w:p>
    <w:p w14:paraId="3E0E1880">
      <w:pPr>
        <w:keepNext w:val="0"/>
        <w:keepLines w:val="0"/>
        <w:pageBreakBefore w:val="0"/>
        <w:tabs>
          <w:tab w:val="left" w:pos="0"/>
        </w:tabs>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3.不可抗力事件延续</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rPr>
        <w:t>天以上，双方应通过友好协商，确定是否继续履行合同。</w:t>
      </w:r>
    </w:p>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14:paraId="7DAC2102">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41" w:name="_Toc2368"/>
      <w:bookmarkStart w:id="42" w:name="_Toc13911"/>
      <w:bookmarkStart w:id="43" w:name="_Toc211854454"/>
      <w:bookmarkStart w:id="44" w:name="_Toc185395254"/>
      <w:bookmarkStart w:id="45" w:name="_Toc239233919"/>
      <w:bookmarkStart w:id="46" w:name="_Toc251768867"/>
      <w:bookmarkStart w:id="47" w:name="_Toc232492933"/>
      <w:bookmarkStart w:id="48" w:name="_Toc225244857"/>
      <w:bookmarkStart w:id="49" w:name="_Toc247334846"/>
      <w:bookmarkStart w:id="50" w:name="_Toc225654649"/>
      <w:bookmarkStart w:id="51" w:name="_Toc225670756"/>
      <w:bookmarkStart w:id="52" w:name="_Toc212019599"/>
      <w:bookmarkStart w:id="53" w:name="_Toc239568423"/>
      <w:bookmarkStart w:id="54" w:name="_Toc237145411"/>
      <w:bookmarkStart w:id="55" w:name="_Toc286993792"/>
      <w:bookmarkStart w:id="56" w:name="_Toc238984980"/>
      <w:bookmarkStart w:id="57" w:name="_Toc241833908"/>
      <w:bookmarkStart w:id="58" w:name="_Toc211911353"/>
      <w:r>
        <w:rPr>
          <w:rFonts w:hint="eastAsia" w:ascii="仿宋" w:hAnsi="仿宋" w:eastAsia="仿宋" w:cs="仿宋"/>
          <w:b/>
          <w:bCs w:val="0"/>
          <w:color w:val="auto"/>
          <w:sz w:val="24"/>
          <w:szCs w:val="24"/>
          <w:highlight w:val="none"/>
        </w:rPr>
        <w:t>第十</w:t>
      </w:r>
      <w:r>
        <w:rPr>
          <w:rFonts w:hint="eastAsia" w:ascii="仿宋" w:hAnsi="仿宋" w:eastAsia="仿宋" w:cs="仿宋"/>
          <w:b/>
          <w:bCs w:val="0"/>
          <w:color w:val="auto"/>
          <w:sz w:val="24"/>
          <w:szCs w:val="24"/>
          <w:highlight w:val="none"/>
          <w:lang w:val="en-US" w:eastAsia="zh-CN"/>
        </w:rPr>
        <w:t>二</w:t>
      </w:r>
      <w:r>
        <w:rPr>
          <w:rFonts w:hint="eastAsia" w:ascii="仿宋" w:hAnsi="仿宋" w:eastAsia="仿宋" w:cs="仿宋"/>
          <w:b/>
          <w:bCs w:val="0"/>
          <w:color w:val="auto"/>
          <w:sz w:val="24"/>
          <w:szCs w:val="24"/>
          <w:highlight w:val="none"/>
        </w:rPr>
        <w:t>条  合同的变更和终止</w:t>
      </w:r>
      <w:bookmarkEnd w:id="41"/>
      <w:bookmarkEnd w:id="42"/>
    </w:p>
    <w:p w14:paraId="2C453821">
      <w:pPr>
        <w:keepNext w:val="0"/>
        <w:keepLines w:val="0"/>
        <w:pageBreakBefore w:val="0"/>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除《中华人民共和国政府采购法》第49条、第50条第二款规定的情形外，本合同一经签订，甲乙双方不得擅自变更、中止或终止合同。</w:t>
      </w:r>
    </w:p>
    <w:p w14:paraId="65A13BE1">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bookmarkStart w:id="59" w:name="_Toc5821"/>
      <w:bookmarkStart w:id="60" w:name="_Toc22199"/>
      <w:r>
        <w:rPr>
          <w:rFonts w:hint="eastAsia" w:ascii="仿宋" w:hAnsi="仿宋" w:eastAsia="仿宋" w:cs="仿宋"/>
          <w:b/>
          <w:bCs w:val="0"/>
          <w:color w:val="auto"/>
          <w:sz w:val="24"/>
          <w:szCs w:val="24"/>
          <w:highlight w:val="none"/>
        </w:rPr>
        <w:t>第十</w:t>
      </w:r>
      <w:r>
        <w:rPr>
          <w:rFonts w:hint="eastAsia" w:ascii="仿宋" w:hAnsi="仿宋" w:eastAsia="仿宋" w:cs="仿宋"/>
          <w:b/>
          <w:bCs w:val="0"/>
          <w:color w:val="auto"/>
          <w:sz w:val="24"/>
          <w:szCs w:val="24"/>
          <w:highlight w:val="none"/>
          <w:lang w:val="en-US" w:eastAsia="zh-CN"/>
        </w:rPr>
        <w:t>三</w:t>
      </w:r>
      <w:r>
        <w:rPr>
          <w:rFonts w:hint="eastAsia" w:ascii="仿宋" w:hAnsi="仿宋" w:eastAsia="仿宋" w:cs="仿宋"/>
          <w:b/>
          <w:bCs w:val="0"/>
          <w:color w:val="auto"/>
          <w:sz w:val="24"/>
          <w:szCs w:val="24"/>
          <w:highlight w:val="none"/>
        </w:rPr>
        <w:t xml:space="preserve">条  </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Pr>
          <w:rFonts w:hint="eastAsia" w:ascii="仿宋" w:hAnsi="仿宋" w:eastAsia="仿宋" w:cs="仿宋"/>
          <w:b/>
          <w:bCs w:val="0"/>
          <w:color w:val="auto"/>
          <w:sz w:val="24"/>
          <w:szCs w:val="24"/>
          <w:highlight w:val="none"/>
          <w:lang w:val="en-US" w:eastAsia="zh-CN"/>
        </w:rPr>
        <w:t>争议解决条款</w:t>
      </w:r>
      <w:bookmarkEnd w:id="59"/>
      <w:bookmarkEnd w:id="60"/>
    </w:p>
    <w:p w14:paraId="66DF275B">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在执行本合同中发生的或与本合同有关的争端，双方应通过友好协商解决，经协商在</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天内不能达成协议时，则采取：向甲方所在地有管辖权的人民法院提起诉讼；</w:t>
      </w:r>
    </w:p>
    <w:p w14:paraId="0038C1CB">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61" w:name="_Toc286993793"/>
      <w:bookmarkStart w:id="62" w:name="_Toc225654650"/>
      <w:bookmarkStart w:id="63" w:name="_Toc225244858"/>
      <w:bookmarkStart w:id="64" w:name="_Toc239568424"/>
      <w:bookmarkStart w:id="65" w:name="_Toc239233920"/>
      <w:bookmarkStart w:id="66" w:name="_Toc247334847"/>
      <w:bookmarkStart w:id="67" w:name="_Toc238984981"/>
      <w:bookmarkStart w:id="68" w:name="_Toc283019219"/>
      <w:bookmarkStart w:id="69" w:name="_Toc185395255"/>
      <w:bookmarkStart w:id="70" w:name="_Toc232492934"/>
      <w:bookmarkStart w:id="71" w:name="_Toc251768868"/>
      <w:bookmarkStart w:id="72" w:name="_Toc237145412"/>
      <w:bookmarkStart w:id="73" w:name="_Toc211911354"/>
      <w:bookmarkStart w:id="74" w:name="_Toc225670757"/>
      <w:bookmarkStart w:id="75" w:name="_Toc241833909"/>
      <w:bookmarkStart w:id="76" w:name="_Toc282696231"/>
      <w:bookmarkStart w:id="77" w:name="_Toc212019600"/>
      <w:bookmarkStart w:id="78" w:name="_Toc211854455"/>
      <w:bookmarkStart w:id="79" w:name="_Toc233"/>
      <w:bookmarkStart w:id="80" w:name="_Toc3628"/>
      <w:r>
        <w:rPr>
          <w:rFonts w:hint="eastAsia" w:ascii="仿宋" w:hAnsi="仿宋" w:eastAsia="仿宋" w:cs="仿宋"/>
          <w:b/>
          <w:bCs w:val="0"/>
          <w:color w:val="auto"/>
          <w:sz w:val="24"/>
          <w:szCs w:val="24"/>
          <w:highlight w:val="none"/>
        </w:rPr>
        <w:t>第十四条  合同</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Pr>
          <w:rFonts w:hint="eastAsia" w:ascii="仿宋" w:hAnsi="仿宋" w:eastAsia="仿宋" w:cs="仿宋"/>
          <w:b/>
          <w:bCs w:val="0"/>
          <w:color w:val="auto"/>
          <w:sz w:val="24"/>
          <w:szCs w:val="24"/>
          <w:highlight w:val="none"/>
        </w:rPr>
        <w:t>生效及其他</w:t>
      </w:r>
      <w:bookmarkEnd w:id="79"/>
      <w:bookmarkEnd w:id="80"/>
    </w:p>
    <w:p w14:paraId="3B834F67">
      <w:pPr>
        <w:pStyle w:val="12"/>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1.合同经双方法定代表人或授权委托代理人签字并加盖单位公章后生效。</w:t>
      </w:r>
    </w:p>
    <w:p w14:paraId="5608C697">
      <w:pPr>
        <w:pStyle w:val="12"/>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2.合同执行中涉及采购资金和采购内容修改或补充的，须经政府采购监管部门审批，并签书面补充协议报政府采购监督管理部门备案，方可作为主合同不可分割的一部分。</w:t>
      </w:r>
    </w:p>
    <w:p w14:paraId="460C418A">
      <w:pPr>
        <w:pStyle w:val="12"/>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3.本合同一式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份，自双方签章之日起起效。甲方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份，乙方</w:t>
      </w:r>
      <w:r>
        <w:rPr>
          <w:rFonts w:hint="eastAsia" w:ascii="仿宋" w:hAnsi="仿宋" w:eastAsia="仿宋" w:cs="仿宋"/>
          <w:i/>
          <w:iCs/>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具有同等法律效力。</w:t>
      </w:r>
    </w:p>
    <w:p w14:paraId="678A1C72">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81" w:name="_Toc15608"/>
      <w:bookmarkStart w:id="82" w:name="_Toc1969"/>
      <w:r>
        <w:rPr>
          <w:rFonts w:hint="eastAsia" w:ascii="仿宋" w:hAnsi="仿宋" w:eastAsia="仿宋" w:cs="仿宋"/>
          <w:b/>
          <w:bCs w:val="0"/>
          <w:color w:val="auto"/>
          <w:sz w:val="24"/>
          <w:szCs w:val="24"/>
          <w:highlight w:val="none"/>
        </w:rPr>
        <w:t>第十五条  附件</w:t>
      </w:r>
      <w:bookmarkEnd w:id="81"/>
      <w:bookmarkEnd w:id="82"/>
    </w:p>
    <w:p w14:paraId="2003BE3C">
      <w:pPr>
        <w:pStyle w:val="12"/>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1.项目竞争性磋商文件</w:t>
      </w:r>
    </w:p>
    <w:p w14:paraId="08BB6508">
      <w:pPr>
        <w:pStyle w:val="12"/>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2.项目修改澄清文件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若有</w:t>
      </w:r>
      <w:r>
        <w:rPr>
          <w:rFonts w:hint="eastAsia" w:ascii="仿宋" w:hAnsi="仿宋" w:eastAsia="仿宋" w:cs="仿宋"/>
          <w:color w:val="auto"/>
          <w:sz w:val="24"/>
          <w:szCs w:val="24"/>
          <w:highlight w:val="none"/>
          <w:lang w:eastAsia="zh-CN"/>
        </w:rPr>
        <w:t>）</w:t>
      </w:r>
    </w:p>
    <w:p w14:paraId="47C8E80D">
      <w:pPr>
        <w:pStyle w:val="12"/>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3.项目响应文件</w:t>
      </w:r>
    </w:p>
    <w:p w14:paraId="5A24703F">
      <w:pPr>
        <w:pStyle w:val="12"/>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4.成交通知书</w:t>
      </w:r>
    </w:p>
    <w:p w14:paraId="5A095452">
      <w:pPr>
        <w:pStyle w:val="12"/>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5.其他</w:t>
      </w:r>
    </w:p>
    <w:p w14:paraId="13811F8F">
      <w:pPr>
        <w:spacing w:line="360" w:lineRule="auto"/>
        <w:ind w:firstLine="480" w:firstLineChars="200"/>
        <w:rPr>
          <w:rFonts w:hint="eastAsia" w:ascii="仿宋" w:hAnsi="仿宋" w:eastAsia="仿宋" w:cs="仿宋"/>
          <w:color w:val="auto"/>
          <w:sz w:val="24"/>
          <w:szCs w:val="24"/>
          <w:highlight w:val="none"/>
        </w:rPr>
      </w:pPr>
    </w:p>
    <w:p w14:paraId="524C94A1">
      <w:pPr>
        <w:spacing w:line="360" w:lineRule="auto"/>
        <w:ind w:firstLine="480" w:firstLineChars="200"/>
        <w:rPr>
          <w:rFonts w:hint="eastAsia" w:ascii="仿宋" w:hAnsi="仿宋" w:eastAsia="仿宋" w:cs="仿宋"/>
          <w:color w:val="auto"/>
          <w:sz w:val="24"/>
          <w:szCs w:val="24"/>
          <w:highlight w:val="none"/>
        </w:rPr>
      </w:pPr>
    </w:p>
    <w:p w14:paraId="50A550F9">
      <w:pPr>
        <w:spacing w:line="360" w:lineRule="auto"/>
        <w:ind w:firstLine="480" w:firstLineChars="200"/>
        <w:rPr>
          <w:rFonts w:hint="eastAsia" w:ascii="仿宋" w:hAnsi="仿宋" w:eastAsia="仿宋" w:cs="仿宋"/>
          <w:color w:val="auto"/>
          <w:sz w:val="24"/>
          <w:szCs w:val="24"/>
          <w:highlight w:val="none"/>
        </w:rPr>
      </w:pPr>
    </w:p>
    <w:p w14:paraId="60955DE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w:t>
      </w:r>
      <w:r>
        <w:rPr>
          <w:rFonts w:hint="eastAsia" w:ascii="仿宋" w:hAnsi="仿宋" w:eastAsia="仿宋" w:cs="仿宋"/>
          <w:color w:val="auto"/>
          <w:sz w:val="24"/>
          <w:szCs w:val="24"/>
          <w:highlight w:val="none"/>
          <w:lang w:val="en-US" w:eastAsia="zh-CN"/>
        </w:rPr>
        <w:t>公</w:t>
      </w:r>
      <w:r>
        <w:rPr>
          <w:rFonts w:hint="eastAsia" w:ascii="仿宋" w:hAnsi="仿宋" w:eastAsia="仿宋" w:cs="仿宋"/>
          <w:color w:val="auto"/>
          <w:sz w:val="24"/>
          <w:szCs w:val="24"/>
          <w:highlight w:val="none"/>
        </w:rPr>
        <w:t xml:space="preserve">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乙    方：   （</w:t>
      </w:r>
      <w:r>
        <w:rPr>
          <w:rFonts w:hint="eastAsia" w:ascii="仿宋" w:hAnsi="仿宋" w:eastAsia="仿宋" w:cs="仿宋"/>
          <w:color w:val="auto"/>
          <w:sz w:val="24"/>
          <w:szCs w:val="24"/>
          <w:highlight w:val="none"/>
          <w:lang w:val="en-US" w:eastAsia="zh-CN"/>
        </w:rPr>
        <w:t>公</w:t>
      </w:r>
      <w:r>
        <w:rPr>
          <w:rFonts w:hint="eastAsia" w:ascii="仿宋" w:hAnsi="仿宋" w:eastAsia="仿宋" w:cs="仿宋"/>
          <w:color w:val="auto"/>
          <w:sz w:val="24"/>
          <w:szCs w:val="24"/>
          <w:highlight w:val="none"/>
        </w:rPr>
        <w:t>章）</w:t>
      </w:r>
    </w:p>
    <w:p w14:paraId="5396743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14:paraId="06A6272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14:paraId="6AB6688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733F7EA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账    号：</w:t>
      </w:r>
    </w:p>
    <w:p w14:paraId="41A457DB">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纳税人识别号：</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纳税人识别号：</w:t>
      </w:r>
    </w:p>
    <w:p w14:paraId="54F0A76C">
      <w:pPr>
        <w:spacing w:line="360" w:lineRule="auto"/>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电    话：                      电    话：</w:t>
      </w:r>
    </w:p>
    <w:p w14:paraId="375F524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14:paraId="4BFB680C">
      <w:pPr>
        <w:pStyle w:val="3"/>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日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14:paraId="2D19713C">
      <w:pPr>
        <w:pStyle w:val="3"/>
        <w:keepNext w:val="0"/>
        <w:keepLines w:val="0"/>
        <w:pageBreakBefore w:val="0"/>
        <w:kinsoku/>
        <w:wordWrap/>
        <w:overflowPunct/>
        <w:topLinePunct w:val="0"/>
        <w:bidi w:val="0"/>
        <w:adjustRightInd w:val="0"/>
        <w:snapToGrid w:val="0"/>
        <w:spacing w:after="0" w:line="360" w:lineRule="auto"/>
        <w:ind w:firstLine="640" w:firstLineChars="200"/>
        <w:outlineLvl w:val="9"/>
        <w:rPr>
          <w:sz w:val="32"/>
          <w:szCs w:val="32"/>
        </w:rPr>
      </w:pPr>
      <w:bookmarkStart w:id="83" w:name="_GoBack"/>
      <w:bookmarkEnd w:id="8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6E171"/>
    <w:multiLevelType w:val="singleLevel"/>
    <w:tmpl w:val="95F6E171"/>
    <w:lvl w:ilvl="0" w:tentative="0">
      <w:start w:val="1"/>
      <w:numFmt w:val="chineseCounting"/>
      <w:suff w:val="space"/>
      <w:lvlText w:val="第%1条"/>
      <w:lvlJc w:val="left"/>
      <w:rPr>
        <w:rFonts w:hint="eastAsia"/>
      </w:rPr>
    </w:lvl>
  </w:abstractNum>
  <w:abstractNum w:abstractNumId="1">
    <w:nsid w:val="2293BF30"/>
    <w:multiLevelType w:val="singleLevel"/>
    <w:tmpl w:val="2293BF30"/>
    <w:lvl w:ilvl="0" w:tentative="0">
      <w:start w:val="6"/>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0E1283"/>
    <w:rsid w:val="0A146C63"/>
    <w:rsid w:val="156D3147"/>
    <w:rsid w:val="17E46336"/>
    <w:rsid w:val="1B2B737F"/>
    <w:rsid w:val="2E6D1174"/>
    <w:rsid w:val="305E4D85"/>
    <w:rsid w:val="332130EA"/>
    <w:rsid w:val="369167D9"/>
    <w:rsid w:val="38984DF4"/>
    <w:rsid w:val="3B404329"/>
    <w:rsid w:val="3C577B7C"/>
    <w:rsid w:val="40572841"/>
    <w:rsid w:val="411F12B9"/>
    <w:rsid w:val="41C72BA9"/>
    <w:rsid w:val="42701DA1"/>
    <w:rsid w:val="431762B8"/>
    <w:rsid w:val="43BB31A0"/>
    <w:rsid w:val="4B810772"/>
    <w:rsid w:val="50281B04"/>
    <w:rsid w:val="51990437"/>
    <w:rsid w:val="51A8134F"/>
    <w:rsid w:val="5402603D"/>
    <w:rsid w:val="56861332"/>
    <w:rsid w:val="578F5A75"/>
    <w:rsid w:val="5B6D0D13"/>
    <w:rsid w:val="5DE03A1E"/>
    <w:rsid w:val="5FB24F46"/>
    <w:rsid w:val="6B113469"/>
    <w:rsid w:val="6C0B2E7C"/>
    <w:rsid w:val="72856323"/>
    <w:rsid w:val="77986B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5">
    <w:name w:val="footer"/>
    <w:basedOn w:val="1"/>
    <w:next w:val="3"/>
    <w:unhideWhenUsed/>
    <w:qFormat/>
    <w:uiPriority w:val="99"/>
    <w:pPr>
      <w:tabs>
        <w:tab w:val="center" w:pos="4153"/>
        <w:tab w:val="right" w:pos="8306"/>
      </w:tabs>
      <w:snapToGrid w:val="0"/>
      <w:spacing w:line="240" w:lineRule="atLeast"/>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bCs/>
    </w:rPr>
  </w:style>
  <w:style w:type="paragraph" w:customStyle="1" w:styleId="10">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1">
    <w:name w:val="标书正文1"/>
    <w:basedOn w:val="1"/>
    <w:next w:val="3"/>
    <w:autoRedefine/>
    <w:qFormat/>
    <w:uiPriority w:val="0"/>
    <w:pPr>
      <w:autoSpaceDE w:val="0"/>
      <w:autoSpaceDN w:val="0"/>
      <w:spacing w:line="520" w:lineRule="exact"/>
      <w:ind w:firstLine="640" w:firstLineChars="200"/>
      <w:jc w:val="left"/>
    </w:pPr>
    <w:rPr>
      <w:rFonts w:ascii="仿宋" w:hAnsi="仿宋" w:eastAsia="仿宋" w:cs="仿宋"/>
      <w:kern w:val="0"/>
      <w:sz w:val="22"/>
      <w:lang w:val="zh-CN" w:bidi="zh-CN"/>
    </w:rPr>
  </w:style>
  <w:style w:type="paragraph" w:customStyle="1" w:styleId="12">
    <w:name w:val="列出段落1"/>
    <w:basedOn w:val="1"/>
    <w:autoRedefine/>
    <w:qFormat/>
    <w:uiPriority w:val="34"/>
    <w:pPr>
      <w:ind w:firstLine="420" w:firstLineChars="200"/>
    </w:pPr>
    <w:rPr>
      <w:rFonts w:ascii="Calibri" w:hAnsi="Calibri" w:cs="黑体"/>
      <w:szCs w:val="22"/>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2397</Words>
  <Characters>2469</Characters>
  <Lines>0</Lines>
  <Paragraphs>0</Paragraphs>
  <TotalTime>0</TotalTime>
  <ScaleCrop>false</ScaleCrop>
  <LinksUpToDate>false</LinksUpToDate>
  <CharactersWithSpaces>3269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2025-01-23T02:14:00Z</dcterms:created>
  <dc:creator>Hailan</dc:creator>
  <cp:lastModifiedBy>XXIA</cp:lastModifiedBy>
  <dcterms:modified xsi:type="dcterms:W3CDTF">2025-09-10T06:51:01Z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eyJoZGlkIjoiNzRkODU0NWM1NTRlNTZjMDFhNjAyNDM3ZDE1ZjE0YTMiLCJ1c2VySWQiOiIzMTQzODkxMTYifQ==</vt:lpwstr>
  </property>
  <property fmtid="{D5CDD505-2E9C-101B-9397-08002B2CF9AE}" pid="4" name="ICV">
    <vt:lpwstr>AC09B0799EF341D9BCC21DB45BA2D720_12</vt:lpwstr>
  </property>
</Properties>
</file>