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版本号：SYZB-2025-05820250915001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水灾害防御预案演练项目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SYZB-2025-058</w:t>
      </w:r>
      <w:r>
        <w:br/>
      </w:r>
      <w:r>
        <w:br/>
      </w:r>
      <w:r>
        <w:br/>
      </w:r>
    </w:p>
    <w:p>
      <w:pPr>
        <w:pStyle w:val="null3"/>
        <w:jc w:val="center"/>
        <w:outlineLvl w:val="2"/>
      </w:pPr>
      <w:r>
        <w:rPr>
          <w:rFonts w:ascii="仿宋_GB2312" w:hAnsi="仿宋_GB2312" w:cs="仿宋_GB2312" w:eastAsia="仿宋_GB2312"/>
          <w:sz w:val="28"/>
          <w:b/>
        </w:rPr>
        <w:t>西安市水灾害防御管理中心</w:t>
      </w:r>
    </w:p>
    <w:p>
      <w:pPr>
        <w:pStyle w:val="null3"/>
        <w:jc w:val="center"/>
        <w:outlineLvl w:val="2"/>
      </w:pPr>
      <w:r>
        <w:rPr>
          <w:rFonts w:ascii="仿宋_GB2312" w:hAnsi="仿宋_GB2312" w:cs="仿宋_GB2312" w:eastAsia="仿宋_GB2312"/>
          <w:sz w:val="28"/>
          <w:b/>
        </w:rPr>
        <w:t>陕西朔宇项目管理有限公司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陕西朔宇项目管理有限公司</w:t>
      </w:r>
      <w:r>
        <w:rPr>
          <w:rFonts w:ascii="仿宋_GB2312" w:hAnsi="仿宋_GB2312" w:cs="仿宋_GB2312" w:eastAsia="仿宋_GB2312"/>
        </w:rPr>
        <w:t>（以下简称“代理机构”）受</w:t>
      </w:r>
      <w:r>
        <w:rPr>
          <w:rFonts w:ascii="仿宋_GB2312" w:hAnsi="仿宋_GB2312" w:cs="仿宋_GB2312" w:eastAsia="仿宋_GB2312"/>
        </w:rPr>
        <w:t>西安市水灾害防御管理中心</w:t>
      </w:r>
      <w:r>
        <w:rPr>
          <w:rFonts w:ascii="仿宋_GB2312" w:hAnsi="仿宋_GB2312" w:cs="仿宋_GB2312" w:eastAsia="仿宋_GB2312"/>
        </w:rPr>
        <w:t>委托，拟对</w:t>
      </w:r>
      <w:r>
        <w:rPr>
          <w:rFonts w:ascii="仿宋_GB2312" w:hAnsi="仿宋_GB2312" w:cs="仿宋_GB2312" w:eastAsia="仿宋_GB2312"/>
        </w:rPr>
        <w:t>水灾害防御预案演练项目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SYZB-2025-058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水灾害防御预案演练项目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中华人民共和国水法》《中华人民共和国防洪法》《陕西省河道管理条例》《西安市河道管理实施办法》等法律、法规相关要求，结合中心业务职能及市局统一安排部署，计划实施全市水灾害防御预案演练项目。水旱灾害防御是人们同灾害性洪水作斗争的一项社会性工作，洪水危害关系着国家经济建设和人民生命财产安全，涉及到社会的安定，国家、地方政府和企业历来都把防汛防洪工作作为维护社会安定的一件大事来抓，每年都要制定方案、措施，以减少自然灾害的损失。开展水灾害防御预案演练，是检验、评价和增强水灾害防御工作能力的一项重要途径和手段，通过模拟真实事故的发生，暴露所制定的防御预案和指挥程序所存在的缺陷，弥补在水灾害防御管理中人力、设备、通讯等应急资源配备的不足，改善各部门、机构和人员之间的协调，明确岗位与职责，提高水灾害防御从业人员掌握水灾害防御能力的熟练程度和技术水平，加强对水灾害突发事件的意识和处置能力。</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采购包1（水灾害防御预案演练项目）：属于专门面向中小企业采购。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1、本项目的特定资格要求：1、营业执照等主体资格证明文件：提供有效存续的企业营业执照（副本）/事业单位法人证书/专业服务机构执业许可证/民办非企业单位登记证书。自然人参与的提供身份证明。 2、法定代表人授权书：提供法定代表人授权书（附法定代表人、被授权人身份证复印件）及被授权人身份证原件（法定代表 人直接参加磋商，须提供法定代表人身份证明及身份证原件）。 3、财务状况报告：提供2023或2024年度的财务审计报告（至少包括资产负债表和利润表，成立时间至提交磋商响应文件截止时间不足一年的可提供成立后任意时段的资产负债表），或磋商时间前六个月内银行出具的资 信证明；（以上三种形式的资料提供任何一种即可）。 4、税收缴纳证明：税收缴纳证明：提供磋商截止之日前一年内已 缴纳的至少一个月的纳税证明或完税证明（任意税种），依法免税的单位应提供相关证明材料。 5、社会保障资金缴纳证明：社会保障资金缴纳证明：提供磋商截止之日前一年内已缴存的至少一个月的社会保障资金缴存单据或 社保机构开具的社会保险参保缴费情况证明，依法不需要缴纳社会保障资金的单位应提供相关证明材料。 6、专业技术能力说明：提供具有履行本合同所必需的设备和专业技术能力的说明及承诺书。 7、信用记录：供应商应通过“信用中国” 网站(www.creditchin a.gov.cn)、中国政府采购网(www.ccgp.gov.cn)查询相关主体信用记录（供应商无须提供，磋商现场查询）。 8、无重大违法说明：参加政府采购活动前3年内，在经营活动中没有重大违法记录的书面声明。 9、单位负责人为同一人或者存在直接控股、管理关系的不同供应商，不得参加同一合同项下的政府采购活动：单位负责人为同一人或者存在直接单位负责人为同一人或者存在直接控股、管理关系的不同供应商，不得参加同一合同项下的政府采购活动。(根据财库【2019】38号文规定，此项由采购人在磋商响应截止日当天在“国家企业信用信息公示系统”网站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西安市水灾害防御管理中心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西安市未央区凤锦路58号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宗科长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029-62645843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陕西朔宇项目管理有限公司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西安市莲湖区桃园北路鑫苑中心10层1016室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康文强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029-86103830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服务费收费标准参照原《国家计委关于印发&lt;招标代理服务收费管理暂行办法&gt;的通知》(计价格〔2002〕1980号)、《国家发展改革委关于降低部分建设项目收费标准规范收费行为等有关问题的通知》(发改价格〔2011〕534号)规定执行。不足陆仟按陆仟元整计取。中标（成交）供应商在领取中标（成交）通知书前，须一次性向采购代理机构支付中标（成交）代理服务费。 户名：陕西朔宇项目管理有限公司 税　　号：91610 131MA 6W2H6 618 单位地址：陕西省西安市莲湖区丰禾路251号鑫苑中心10层1016室 电话号码：029-86103830 开户银行：中国农业银行股份有限公司陕西自贸区西安唐延南路支行 银行账户：26126501040008944）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西安市水灾害防御管理中心</w:t>
      </w:r>
      <w:r>
        <w:rPr>
          <w:rFonts w:ascii="仿宋_GB2312" w:hAnsi="仿宋_GB2312" w:cs="仿宋_GB2312" w:eastAsia="仿宋_GB2312"/>
        </w:rPr>
        <w:t>和</w:t>
      </w:r>
      <w:r>
        <w:rPr>
          <w:rFonts w:ascii="仿宋_GB2312" w:hAnsi="仿宋_GB2312" w:cs="仿宋_GB2312" w:eastAsia="仿宋_GB2312"/>
        </w:rPr>
        <w:t>陕西朔宇项目管理有限公司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西安市水灾害防御管理中心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陕西朔宇项目管理有限公司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西安市水灾害防御管理中心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陕西朔宇项目管理有限公司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1、根据采购文件、投标文件、合同文件 2、 根据《中华人民共和国水法》《中华人民共和国防洪法》《陕西省河道管理条例》《西安市河道管理实施办法》等法律、法规和西安市水灾害防御有关条例规范等。</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陕西朔宇项目管理有限公司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陕西朔宇项目管理有限公司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陕西朔宇项目管理有限公司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联系人：康工</w:t>
      </w:r>
    </w:p>
    <w:p>
      <w:pPr>
        <w:pStyle w:val="null3"/>
      </w:pPr>
      <w:r>
        <w:rPr>
          <w:rFonts w:ascii="仿宋_GB2312" w:hAnsi="仿宋_GB2312" w:cs="仿宋_GB2312" w:eastAsia="仿宋_GB2312"/>
        </w:rPr>
        <w:t>联系电话：02986103830</w:t>
      </w:r>
    </w:p>
    <w:p>
      <w:pPr>
        <w:pStyle w:val="null3"/>
      </w:pPr>
      <w:r>
        <w:rPr>
          <w:rFonts w:ascii="仿宋_GB2312" w:hAnsi="仿宋_GB2312" w:cs="仿宋_GB2312" w:eastAsia="仿宋_GB2312"/>
        </w:rPr>
        <w:t>地址：西安市莲湖区桃园北路鑫苑中心10层1016室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中华人民共和国水法》《中华人民共和国防洪法》《陕西省河道管理条例》《西安市河道管理实施办法》等法律、法规相关要求，结合中心业务职能及市局统一安排部署，计划实施全市水灾害防御预案演练项目。水旱灾害防御是人们同灾害性洪水作斗争的一项社会性工作，洪水危害关系着国家经济建设和人民生命财产安全，涉及到社会的安定，国家、地方政府和企业历来都把防汛防洪工作作为维护社会安定的一件大事来抓，每年都要制定方案、措施，以减少自然灾害的损失。开展水灾害防御预案演练，是检验、评价和增强水灾害防御工作能力的一项重要途径和手段，通过模拟真实事故的发生，暴露所制定的防御预案和指挥程序所存在的缺陷，弥补在水灾害防御管理中人力、设备、通讯等应急资源配备的不足，改善各部门、机构和人员之间的协调，明确岗位与职责，提高水灾害防御从业人员掌握水灾害防御能力的熟练程度和技术水平，加强对水灾害突发事件的意识和处置能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预案演练</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标的名称：预案演练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根据《西安市水务局关于转发水利部办公厅关于开展妨碍河道行洪突出问题排查整治工作的通知》（市水发〔2021〕580号）的通知相关要求和市局年度水灾害防御工作关于预案编制审批有关要求，结合西安市水务局办公室关于加强河道管理定期开展督察暗访工作的通知、西安市水务局关于立即开展河道治理工程现状河道防洪影响自查工作的通知要求，开展市级水灾害防御预案演练项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根据项目进行配备。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根据项目进行配备。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合同签订后90天内完成本次应急演练策划服务。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西安市水灾害防御管理中心，西安市未央区凤锦路58号。</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1、根据采购文件、合同文件 2、 根据《中华人民共和国水法》《中华人民共和国防洪法》《陕西省河道管理条例》《西安市河道管理实施办法》等法律、法规和西安市水灾害防御有关条例规范等。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履约验收合格后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成交人在领取成交通知书时提供一正两副纸质版响应文件。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参加采购活动前三年内在经营活动中没有重大违法记录的书面声明.docx 响应报价表.docx 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提供2023或2024年度的财务审计报告（至少包括资产负债表和利润表，成立时间至提交磋商响应文件截止时间不足一年的可提供成立后任意时段的资产负债表），或磋商时间前六个月内银行出具的资 信证明；（以上三种形式的资料提供任何一种即可）。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 供应商资格条件证明文件.docx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1、营业执照等主体资格证明文件：提供有效存续的企业营业执照（副本）/事业单位法人证书/专业服务机构执业许可证/民办非企业单位登记证书。自然人参与的提供身份证明。 2、法定代表人授权书：提供法定代表人授权书（附法定代表人、被授权人身份证复印件）及被授权人身份证原件（法定代表 人直接参加磋商，须提供法定代表人身份证明及身份证原件）。 3、财务状况报告：提供2023或2024年度的财务审计报告（至少包括资产负债表和利润表，成立时间至提交磋商响应文件截止时间不足一年的可提供成立后任意时段的资产负债表），或磋商时间前六个月内银行出具的资 信证明；（以上三种形式的资料提供任何一种即可）。 4、税收缴纳证明：税收缴纳证明：提供磋商截止之日前一年内已 缴纳的至少一个月的纳税证明或完税证明（任意税种），依法免税的单位应提供相关证明材料。 5、社会保障资金缴纳证明：社会保障资金缴纳证明：提供磋商截止之日前一年内已缴存的至少一个月的社会保障资金缴存单据或 社保机构开具的社会保险参保缴费情况证明，依法不需要缴纳社会保障资金的单位应提供相关证明材料。 6、专业技术能力说明：提供具有履行本合同所必需的设备和专业技术能力的说明及承诺书。 7、信用记录：供应商应通过“信用中国” 网站(www.creditchin a.gov.cn)、中国政府采购网(www.ccgp.gov.cn)查询相关主体信用记录（供应商无须提供，磋商现场查询）。 8、无重大违法说明：参加政府采购活动前3年内，在经营活动中没有重大违法记录的书面声明。 9、单位负责人为同一人或者存在直接控股、管理关系的不同供应商，不得参加同一合同项下的政府采购活动：单位负责人为同一人或者存在直接单位负责人为同一人或者存在直接控股、管理关系的不同供应商，不得参加同一合同项下的政府采购活动。(根据财库【2019】38号文规定，此项由采购人在磋商响应截止日当天在“国家企业信用信息公示系统”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供应商符合《政府采购法》第二十二条规定条件的承诺函.docx 法定代表人证明书与法定代表人授权书.docx 质疑函.docx 标的清单 报价表 服务内容及服务邀请应答表.docx 商务应答表.docx 响应函 服务方案.docx 陕西省政府采购供应商拒绝政府采购领域商业贿赂承诺书.docx 投诉书.docx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除明确允许供应商可以自行编写的外，磋商响应文件按照磋商文件给定的格式编制；</w:t>
            </w:r>
          </w:p>
        </w:tc>
        <w:tc>
          <w:tcPr>
            <w:tcW w:type="dxa" w:w="1661"/>
          </w:tcPr>
          <w:p>
            <w:pPr>
              <w:pStyle w:val="null3"/>
            </w:pPr>
            <w:r>
              <w:rPr>
                <w:rFonts w:ascii="仿宋_GB2312" w:hAnsi="仿宋_GB2312" w:cs="仿宋_GB2312" w:eastAsia="仿宋_GB2312"/>
              </w:rPr>
              <w:t>响应文件封面 中小企业声明函 残疾人福利性单位声明函 法定代表人证明书与法定代表人授权书.docx 响应报价表.docx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磋商响应文件按照磋商文件的要求盖章签字</w:t>
            </w:r>
          </w:p>
        </w:tc>
        <w:tc>
          <w:tcPr>
            <w:tcW w:type="dxa" w:w="1661"/>
          </w:tcPr>
          <w:p>
            <w:pPr>
              <w:pStyle w:val="null3"/>
            </w:pPr>
            <w:r>
              <w:rPr>
                <w:rFonts w:ascii="仿宋_GB2312" w:hAnsi="仿宋_GB2312" w:cs="仿宋_GB2312" w:eastAsia="仿宋_GB2312"/>
              </w:rPr>
              <w:t>响应文件封面 供应商符合《政府采购法》第二十二条规定条件的承诺函.docx 参加采购活动前三年内在经营活动中没有重大违法记录的书面声明.docx 中小企业声明函 残疾人福利性单位声明函 法定代表人证明书与法定代表人授权书.docx 承诺书.docx 响应报价表.docx 陕西省政府采购供应商拒绝政府采购领域商业贿赂承诺书.docx 监狱企业的证明文件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磋商报价未超过采购预算</w:t>
            </w:r>
          </w:p>
        </w:tc>
        <w:tc>
          <w:tcPr>
            <w:tcW w:type="dxa" w:w="1661"/>
          </w:tcPr>
          <w:p>
            <w:pPr>
              <w:pStyle w:val="null3"/>
            </w:pPr>
            <w:r>
              <w:rPr>
                <w:rFonts w:ascii="仿宋_GB2312" w:hAnsi="仿宋_GB2312" w:cs="仿宋_GB2312" w:eastAsia="仿宋_GB2312"/>
              </w:rPr>
              <w:t>响应文件封面 响应报价表.docx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磋商有效期符合磋商文件的要求</w:t>
            </w:r>
          </w:p>
        </w:tc>
        <w:tc>
          <w:tcPr>
            <w:tcW w:type="dxa" w:w="1661"/>
          </w:tcPr>
          <w:p>
            <w:pPr>
              <w:pStyle w:val="null3"/>
            </w:pPr>
            <w:r>
              <w:rPr>
                <w:rFonts w:ascii="仿宋_GB2312" w:hAnsi="仿宋_GB2312" w:cs="仿宋_GB2312" w:eastAsia="仿宋_GB2312"/>
              </w:rPr>
              <w:t>响应文件封面 响应报价表.docx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对磋商文件商务要求技术要求，作出明确且实质性响应；对不得偏离的技术要求作了实质性响应</w:t>
            </w:r>
          </w:p>
        </w:tc>
        <w:tc>
          <w:tcPr>
            <w:tcW w:type="dxa" w:w="3322"/>
          </w:tcPr>
          <w:p>
            <w:pPr>
              <w:pStyle w:val="null3"/>
            </w:pPr>
            <w:r>
              <w:rPr>
                <w:rFonts w:ascii="仿宋_GB2312" w:hAnsi="仿宋_GB2312" w:cs="仿宋_GB2312" w:eastAsia="仿宋_GB2312"/>
              </w:rPr>
              <w:t>对磋商文件商务要求技术要求，作出明确且实质性响应；对不得偏离的技术要求作了实质性响应；</w:t>
            </w:r>
          </w:p>
        </w:tc>
        <w:tc>
          <w:tcPr>
            <w:tcW w:type="dxa" w:w="1661"/>
          </w:tcPr>
          <w:p>
            <w:pPr>
              <w:pStyle w:val="null3"/>
            </w:pPr>
            <w:r>
              <w:rPr>
                <w:rFonts w:ascii="仿宋_GB2312" w:hAnsi="仿宋_GB2312" w:cs="仿宋_GB2312" w:eastAsia="仿宋_GB2312"/>
              </w:rPr>
              <w:t>响应文件封面 响应报价表.docx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演练技术文件</w:t>
            </w:r>
          </w:p>
        </w:tc>
        <w:tc>
          <w:tcPr>
            <w:tcW w:type="dxa" w:w="2492"/>
          </w:tcPr>
          <w:p>
            <w:pPr>
              <w:pStyle w:val="null3"/>
            </w:pPr>
            <w:r>
              <w:rPr>
                <w:rFonts w:ascii="仿宋_GB2312" w:hAnsi="仿宋_GB2312" w:cs="仿宋_GB2312" w:eastAsia="仿宋_GB2312"/>
              </w:rPr>
              <w:t>①根据项目实际要求，能够提供针对本次演练较为全面、合理、可行的计划、方案、脚本的技术文件，得（7-11]分； ②根据项目实际要求，能够提供针对本次演练基本合理、可行的计划、方案、脚本的技术文件，得（4-7]分； ③提供的演练计划、方案、脚本的技术文件与实际演练要求有偏差，局部内容有少量欠缺与不足，得（1-4]分； ④提供的演练计划、方案、脚本的技术文件不符合实际演练要求，内容及设计存在严重缺陷，得[0-1]分；⑤未提供相关内容的不得分。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进度安排及成果物</w:t>
            </w:r>
          </w:p>
        </w:tc>
        <w:tc>
          <w:tcPr>
            <w:tcW w:type="dxa" w:w="2492"/>
          </w:tcPr>
          <w:p>
            <w:pPr>
              <w:pStyle w:val="null3"/>
            </w:pPr>
            <w:r>
              <w:rPr>
                <w:rFonts w:ascii="仿宋_GB2312" w:hAnsi="仿宋_GB2312" w:cs="仿宋_GB2312" w:eastAsia="仿宋_GB2312"/>
              </w:rPr>
              <w:t>①演练进度安排合理，日程安排及工作内容详细，符合实际，可行性强，成果物输出的完整，得（7-11]分； ②演练进度安排合理，日程安排及工作内容较为详细，基本符合实际，较为可行，成果物输出基本完整，得（4-7]分； ③演练进度安排基本合理，日程安排及工作内容有缺漏，成果物输出有少量欠缺，得（1-4]分； ④演练进度安排不符合实际要求，有较大的缺陷，可行性差，成果物输出不符合演练实际，得[0-1]分；⑤未提供相关内容的不得分。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演练重难点及保障措施</w:t>
            </w:r>
          </w:p>
        </w:tc>
        <w:tc>
          <w:tcPr>
            <w:tcW w:type="dxa" w:w="2492"/>
          </w:tcPr>
          <w:p>
            <w:pPr>
              <w:pStyle w:val="null3"/>
            </w:pPr>
            <w:r>
              <w:rPr>
                <w:rFonts w:ascii="仿宋_GB2312" w:hAnsi="仿宋_GB2312" w:cs="仿宋_GB2312" w:eastAsia="仿宋_GB2312"/>
              </w:rPr>
              <w:t>①对演练工作重点、难点认识准确、描述清晰，保障措施科学、合理、可行，得（7-11]分； ②对演练工作重点、难点认识基本准确、描述较为清晰，保障措施基本合理可行，得（4-7]分； ③对演练工作重点、难点认识不清，保障措施无合理性与可行性，得[0-4]分；④未提供相关内容的不得分。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①具有针对本项目的专业服务团队、搭配合理、满足项目需求，总体实力较强，项目负责人具有高级技术职称，且项目成员中具有高级技术职称至少2人，中级技术职称计至少2人，得11分； ②具有针对本项目的专业服务团队、搭配基本合理，可基本满足项目需求，项目负责人具有高级技术职称，且项目成员中具有高级技术职称至少1人，中级技术职称计至少1人，得7分； ③具有针对本项目的专业服务搭配不合理，难以满足项目需求，得3分； ④未提供相关内容的不得分。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组织机构.docx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①针对项目提出完善可行的服务承诺，包括组织保障、人员保障、设备保障，以及具体可行的后续服务措施承诺，得（7-11]分； ②针对项目提出的服务承诺基本完善可行，得（4-7]分； ③针对项目提出的服务承诺较差，有较大欠缺，难以满足项目需求，得[0-4]分；④未提供相关内容的不得分。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质量管理体系及保障措施</w:t>
            </w:r>
          </w:p>
        </w:tc>
        <w:tc>
          <w:tcPr>
            <w:tcW w:type="dxa" w:w="2492"/>
          </w:tcPr>
          <w:p>
            <w:pPr>
              <w:pStyle w:val="null3"/>
            </w:pPr>
            <w:r>
              <w:rPr>
                <w:rFonts w:ascii="仿宋_GB2312" w:hAnsi="仿宋_GB2312" w:cs="仿宋_GB2312" w:eastAsia="仿宋_GB2312"/>
              </w:rPr>
              <w:t>①项目质量管理体系健全，质量保障措施得当、 有针对性，得（7-11]分； ②项目质量管理体系基本健全，进度保障措施基本得当、 基本有针对性，得（4-7]分； ③项目质量管理体系及进度保障措施存在不足，得（2-4]分； ④项目质量管理体系及进度保障措施多处不符合项目实际，得[0-2]分； ⑤未提供相关内容的不得分。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①服务承诺内容具体、完整、详细、全面的，得（4-8]分； ②服务承诺内容不具体，条理性、逻辑性不清晰，得（2-4]分； ③ 内容只有框架，无实质性内容的或简单概括，得[0-2]分； ④未提供相关内容的不得分。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①提供针对本项目的合理化建议，内容可行、合理，得（4-8]分；②内容较可行、较合理，得[0-4]分；③未提供相关内容的不得分。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供应商2019年1月1日至今同类项目合同（以合同签订日期为准），每提供1个得2分，最高得8分。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详见附件：参加采购活动前三年内在经营活动中没有重大违法记录的书面声明.docx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详见附件：供应商符合《政府采购法》第二十二条规定条件的承诺函.docx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详见附件：投诉书.docx</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详见附件：质疑函.docx</w:t>
      </w:r>
    </w:p>
    <w:p>
      <w:pPr>
        <w:pStyle w:val="null3"/>
        <w:ind w:firstLine="960"/>
      </w:pPr>
      <w:r>
        <w:rPr>
          <w:rFonts w:ascii="仿宋_GB2312" w:hAnsi="仿宋_GB2312" w:cs="仿宋_GB2312" w:eastAsia="仿宋_GB2312"/>
        </w:rPr>
        <w:t>详见附件：组织机构.docx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详见附件：水灾害防御预案演练项目服务合同.docx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