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版本号：SYZB-2025-06120250915001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水灾害防御防洪方案和水灾害志编撰项目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SYZB-2025-061</w:t>
      </w:r>
      <w:r>
        <w:br/>
      </w:r>
      <w:r>
        <w:br/>
      </w:r>
      <w:r>
        <w:br/>
      </w:r>
    </w:p>
    <w:p>
      <w:pPr>
        <w:pStyle w:val="null3"/>
        <w:jc w:val="center"/>
        <w:outlineLvl w:val="2"/>
      </w:pPr>
      <w:r>
        <w:rPr>
          <w:rFonts w:ascii="仿宋_GB2312" w:hAnsi="仿宋_GB2312" w:cs="仿宋_GB2312" w:eastAsia="仿宋_GB2312"/>
          <w:sz w:val="28"/>
          <w:b/>
        </w:rPr>
        <w:t>西安市水灾害防御管理中心</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西安市水灾害防御管理中心</w:t>
      </w:r>
      <w:r>
        <w:rPr>
          <w:rFonts w:ascii="仿宋_GB2312" w:hAnsi="仿宋_GB2312" w:cs="仿宋_GB2312" w:eastAsia="仿宋_GB2312"/>
        </w:rPr>
        <w:t>委托，拟对</w:t>
      </w:r>
      <w:r>
        <w:rPr>
          <w:rFonts w:ascii="仿宋_GB2312" w:hAnsi="仿宋_GB2312" w:cs="仿宋_GB2312" w:eastAsia="仿宋_GB2312"/>
        </w:rPr>
        <w:t>水灾害防御防洪方案和水灾害志编撰项目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SYZB-2025-061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水灾害防御防洪方案和水灾害志编撰项目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做好应对水灾害防御河道洪水防御应对工作的总体考虑和各项准备，确保能在第一时间提出意见和建议，有效应对洪水灾害领域“黑天鹅”和“灰犀牛”事件，确保水灾害河道洪水应对科学有序，有效减轻流域内河道行洪安全。根据市水务局有关安排部署，结合我中心业务职能及年度工作计划，现计划实施2025年度水灾害防御相关技术保障工作。一是2025年沣河、潏河、石川河、清河防御洪水方案编制工作；二是西安市城市防御洪水方案编制工作，主要涉及渭河、灞河、浐河、潏河、沣河、皂河、幸福河、漕运河共8条河流城区段；三是西安市水旱灾害志编撰。该项目计划在2025年实施，将通过政府采购购买服务方式，根据项目特点及要求进行分类采购，按期完成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采购包1（水灾害防御防洪方案和水灾害志编撰项目）：属于专门面向中小企业采购。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法定代表人授权委托书（附被授权人身份证复印件）；法定代表人或负责人直接参加只须提供法定代表人资格证明书（附法定代表人或负责人身份证复印件），本项需进行电子签章。（2）供应商须具有水文、水资源调查评价乙级及以上（含乙级）资质或水利行业工程设计乙级及以上（含乙级）资质或建设项目水资源论证资质乙级及以上（含乙级）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5）不接受联合体磋商（需提供声明并进行电子签章）。（6）项目负责人需具备水利相关专业高级（含高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西安市水灾害防御管理中心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宗科长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029-62645843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西安市莲湖区桃园北路鑫苑中心10层1016室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不足陆仟按陆仟元整计取。中标（成交）供应商在领取中标（成交）通知书前，须一次性向采购代理机构支付中标（成交）代理服务费。 户名：陕西朔宇项目管理有限公司 税　　号：91610 131MA 6W2H6 618 单位地址：陕西省西安市莲湖区丰禾路251号鑫苑中心10层1016室 电话号码：029-86103830 开户银行：中国农业银行股份有限公司陕西自贸区西安唐延南路支行 银行账户：26126501040008944）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西安市水灾害防御管理中心</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西安市水灾害防御管理中心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西安市水灾害防御管理中心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1、根据采购文件、合同文件 2、 根据《中华人民共和国水法》《中华人民共和国防洪法》《陕西省河道管理条例》《西安市河道管理实施办法》等法律、法规和西安市水灾害防御有关条例规范等。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联系电话：029-86103830</w:t>
      </w:r>
    </w:p>
    <w:p>
      <w:pPr>
        <w:pStyle w:val="null3"/>
      </w:pPr>
      <w:r>
        <w:rPr>
          <w:rFonts w:ascii="仿宋_GB2312" w:hAnsi="仿宋_GB2312" w:cs="仿宋_GB2312" w:eastAsia="仿宋_GB2312"/>
        </w:rPr>
        <w:t>地址：西安市莲湖区桃园北路鑫苑中心10层1016室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做好应对水灾害防御河道洪水防御应对工作的总体考虑和各项准备，确保能在第一时间提出意见和建议，有效应对洪水灾害领域“黑天鹅”和“灰犀牛”事件，确保水灾害河道洪水应对科学有序，有效减轻流域内河道行洪安全。根据市水务局有关安排部署，结合我中心业务职能及年度工作计划，现计划实施2025年度水灾害防御相关技术保障工作。一是2025年沣河、潏河、石川河、清河防御洪水方案编制工作；二是西安市城市防御洪水方案编制工作，主要涉及渭河、灞河、浐河、潏河、沣河、皂河、幸福河、漕运河共8条河流城区段；三是西安市水旱灾害志编撰。该项目计划在2025年实施，将通过政府采购购买服务方式，根据项目特点及要求进行分类采购，按期完成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水灾害防洪方案和水灾害志编撰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标的名称：水灾害防洪方案和水灾害志编撰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根据《黄河防御洪水方案》及陕西省水利厅相关培训精神要求，进行相关河道防御洪水方案编制：开展河道防洪资料收集、现场调研等，主要内容包括：（1）收集沣河、潏河、石川河、清河以及市级主要河流城区段（渭河、浐河、灞河、潏河、沣河、皂河、幸福河、漕运河）的水文、工程、气象等各类基础资料；（2）充分掌握市级主要河道工程的现状及近期规划治理目标；（3）合理确定防御洪水安排，确定水灾害监测工作安排，划分预警类别与等级；（4）确定洪水防御责任与权限；（5）根据确定的预警类别及等级合理安排不同等级的信息上报发布及预警行动；（6）提出预防准备措施及抗洪抢险等工作安排；（7）提供对应的附表及附图。 西安市水旱灾害志编撰：（1）开展西安市洪水灾害、干旱灾害实况资料收集，分析洪涝灾害、干旱灾害特征及灾害成因，影响情况；（2）收集水旱灾害防御管理内容并总结水旱灾害治理经验及对策；（3）收集西安市重大抗灾、救灾纪实、实例；（4）收集整理西安市水旱灾害防治人物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合同签订后30天内按照采购人要求提交成果文件。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西安市水灾害防御管理中心，西安市未央区凤锦路58号。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1、根据采购文件、合同文件 2、 根据《中华人民共和国水法》《中华人民共和国防洪法》《陕西省河道管理条例》《西安市河道管理实施办法》等法律、法规和西安市水灾害防御有关条例规范等。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合同在履行过程中，如发生争议，双方应友好协商解决，如协商不成，将该争议提交至西安仲裁委员会，依据其现行有效的仲裁规则进行仲裁。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参加采购活动前三年内在经营活动中没有重大违法记录的书面声明.docx 响应报价表.docx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 3、税收缴纳证明：提供2025年1月1日至今已缴纳的至少一个月的纳税证明或完税证明，依法免税的单位应提供相关证明材料，提供复印件并进行电子签章。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2）供应商须具有水文、水资源调查评价乙级及以上（含乙级）资质或水利行业工程设计乙级及以上（含乙级）资质或建设项目水资源论证资质乙级及以上（含乙级）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5）不接受联合体磋商（需提供声明并进行电子签章）。（6）项目负责人需具备水利相关专业高级（含高级）及以上职称。</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供应商符合《政府采购法》第二十二条规定条件的承诺函.docx 法定代表人证明书与法定代表人授权书.docx 质疑函.docx 标的清单 报价表 服务内容及服务邀请应答表.docx 商务应答表.docx 响应函 服务方案.docx 陕西省政府采购供应商拒绝政府采购领域商业贿赂承诺书.docx 投诉书.docx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1661"/>
          </w:tcPr>
          <w:p>
            <w:pPr>
              <w:pStyle w:val="null3"/>
            </w:pPr>
            <w:r>
              <w:rPr>
                <w:rFonts w:ascii="仿宋_GB2312" w:hAnsi="仿宋_GB2312" w:cs="仿宋_GB2312" w:eastAsia="仿宋_GB2312"/>
              </w:rPr>
              <w:t>响应文件封面 中小企业声明函 残疾人福利性单位声明函 法定代表人证明书与法定代表人授权书.docx 响应报价表.docx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供应商符合《政府采购法》第二十二条规定条件的承诺函.docx 参加采购活动前三年内在经营活动中没有重大违法记录的书面声明.docx 中小企业声明函 残疾人福利性单位声明函 法定代表人证明书与法定代表人授权书.docx 承诺书.docx 响应报价表.docx 陕西省政府采购供应商拒绝政府采购领域商业贿赂承诺书.docx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332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1661"/>
          </w:tcPr>
          <w:p>
            <w:pPr>
              <w:pStyle w:val="null3"/>
            </w:pPr>
            <w:r>
              <w:rPr>
                <w:rFonts w:ascii="仿宋_GB2312" w:hAnsi="仿宋_GB2312" w:cs="仿宋_GB2312" w:eastAsia="仿宋_GB2312"/>
              </w:rPr>
              <w:t>响应文件封面 响应报价表.docx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①技术方案符合国家相关要求，内容全面完整，科学合理，语言通顺简练，具有较强的针对性和适宜性，得（7.0-10.0]分； ②技术方案符合国家相关要求，内容基本齐全，语言表述基本清晰，只存在个别不影响整体质量的缺陷，得（4.0-7.0]分； ③技术方案基本符合国家相关要求，局部内容有少量欠缺，语言表述存在个别不清晰现象，得（1.0-4.0]分； ④技术方案存在多处不符合相关要求，内容及设计存在严重缺陷，得[0.0-1.0]分；⑤未提供相关内容的不得分。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①项目质量管理体系健全，质量保障措施得当、 有针对性，得（7.0-10.0]分； ②项目质量管理体系基本健全，进度保障措施基本得当、 基本有针对性，得（4.0-7.0]分； ③项目质量管理体系及进度保障措施存在不足，得（1.0-4.0]分； ④项目质量管理体系及进度保障措施多处不符合项目实际，得[0.0-1.0]分； 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①能够按时完成项目各项任务，且项目进度计划符合实际、科学完整，保证措施严谨、周密，得（7.0-10.0]分； ②能够按时完成各项任务，且项目进度计划安排合理，保证措施得当、可操作，得（4.0-7.0]分； ③能够完成按时完成各项任务，但进度计划安排存在局部不足，保证措施有缺漏，但基本可行，得（1.0-4.0]分； ④能够按时完成各项任务，但进度计划安排不符合实际要求，存在严重不足，保证措施多处有较大的缺陷，可行性差，得[0.0-1.0]分； 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重点工作环节实施方法</w:t>
            </w:r>
          </w:p>
        </w:tc>
        <w:tc>
          <w:tcPr>
            <w:tcW w:type="dxa" w:w="2492"/>
          </w:tcPr>
          <w:p>
            <w:pPr>
              <w:pStyle w:val="null3"/>
            </w:pPr>
            <w:r>
              <w:rPr>
                <w:rFonts w:ascii="仿宋_GB2312" w:hAnsi="仿宋_GB2312" w:cs="仿宋_GB2312" w:eastAsia="仿宋_GB2312"/>
              </w:rPr>
              <w:t>①重点工作环节全面把握，实施方法科学、合理、可行性强，得（7.0-10.0]分； ②重点工作环节把握较全面，实施方法的科学性、合理性、可行性一般，得（4.0-7.0]分； ③重点工作环节把握不清，实施方法的科学性、合理性、可行性较差，得[0.0-4.0]分；④未提供相关内容的不得分。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①具有科学、合理且详细的保密管理制度，得（7.0-10.0]分； ②保密管理制度无条理性，解决方案不具体，得（4.0-7.0]分； ③内容不具有针对性，未切合本项目实际情况，得（1.0-4.0]分； ④只有框架，无实质性内容的或只有简单叙述的或内容欠缺，得[0.0-1.0]分； ⑤未提供相关内容的不得分。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保密协议.docx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项目的专业人员组成情况</w:t>
            </w:r>
          </w:p>
        </w:tc>
        <w:tc>
          <w:tcPr>
            <w:tcW w:type="dxa" w:w="2492"/>
          </w:tcPr>
          <w:p>
            <w:pPr>
              <w:pStyle w:val="null3"/>
            </w:pPr>
            <w:r>
              <w:rPr>
                <w:rFonts w:ascii="仿宋_GB2312" w:hAnsi="仿宋_GB2312" w:cs="仿宋_GB2312" w:eastAsia="仿宋_GB2312"/>
              </w:rPr>
              <w:t>拟负责本次项目的专业人员组成情况（包括不限于人员履历简介、承担过项目介绍和在职证明等）。人员分工明确且配备充足，有同类项目客户服务经验，完全满足本项目采购需求，得（4.0-8.0]分；人员分工相对明确且配备基本充足、基本满足本项目采购需求，得[0.0-4.0]分；③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组织机构.docx</w:t>
            </w:r>
          </w:p>
        </w:tc>
      </w:tr>
      <w:tr>
        <w:tc>
          <w:tcPr>
            <w:tcW w:type="dxa" w:w="831"/>
            <w:vMerge/>
          </w:tcPr>
          <w:p/>
        </w:tc>
        <w:tc>
          <w:tcPr>
            <w:tcW w:type="dxa" w:w="1661"/>
          </w:tcPr>
          <w:p>
            <w:pPr>
              <w:pStyle w:val="null3"/>
            </w:pPr>
            <w:r>
              <w:rPr>
                <w:rFonts w:ascii="仿宋_GB2312" w:hAnsi="仿宋_GB2312" w:cs="仿宋_GB2312" w:eastAsia="仿宋_GB2312"/>
              </w:rPr>
              <w:t>项目负责人的工作经验</w:t>
            </w:r>
          </w:p>
        </w:tc>
        <w:tc>
          <w:tcPr>
            <w:tcW w:type="dxa" w:w="2492"/>
          </w:tcPr>
          <w:p>
            <w:pPr>
              <w:pStyle w:val="null3"/>
            </w:pPr>
            <w:r>
              <w:rPr>
                <w:rFonts w:ascii="仿宋_GB2312" w:hAnsi="仿宋_GB2312" w:cs="仿宋_GB2312" w:eastAsia="仿宋_GB2312"/>
              </w:rPr>
              <w:t>项目负责人具有丰富的工作经验（包括不限于人员履历简介、承担过项目介绍、获奖证书等），能够带领及引导团对人员顺利完成项目，并达到采购人要求，项目负责人职业经历丰富，符合采购人需求，得（4.0-8.0]分；②项目负责人职业经历欠缺，得[0.0-4.0]分；③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组织机构.docx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①服务承诺内容具体、完整、详细、全面的，得（4.0-8.0]分； ②服务承诺内容不具体，条理性、逻辑性不清晰，得（1.0-4.0]分； ③ 内容只有框架，无实质性内容的或简单概括，得[0.0-1.0]分； ④未提供相关内容的不得分。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①提供针对本项目的合理化建议，内容可行、合理，得[4.0-8.0]分；②内容较可行、较合理计，得[0.0-4.0]分；③未提供相关内容的不得分。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供应商2019年1月1日至今同类项目合同（以合同签订日期为准），每提供1个得2分，最高得8分。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详见附件：保密协议.docx</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详见附件：组织机构.docx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详见附件：水灾害防御防洪方案和水灾害志编撰项目服务合同.docx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