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版本号：JXRC-25081920250910001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全院医用计量设备校准服务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JXRC-250819</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全院医用计量设备校准服务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JXRC-250819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全院医用计量设备校准服务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根据《计量法》要求，为确保医用诊断治疗设备的测量安全、准确，需对我院2025年度医用计量设备进行计量校准。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采购包1（全院医用计量设备校准服务）：属于专门面向中小企业采购。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财务状况报告：法人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税收缴纳证明：法人提供自2025年2月1日以来至少一个月的纳税证明或完税证明，纳税证明或完税证明上应有代收机构或税务机关的公章或业务专用章；其他组织和自然人提供自2025年2月1日以来至少一个月缴纳税收的凭据；依法免税的供应商应提供相关文件证明；</w:t>
      </w:r>
    </w:p>
    <w:p>
      <w:pPr>
        <w:pStyle w:val="null3"/>
      </w:pPr>
      <w:r>
        <w:rPr>
          <w:rFonts w:ascii="仿宋_GB2312" w:hAnsi="仿宋_GB2312" w:cs="仿宋_GB2312" w:eastAsia="仿宋_GB2312"/>
        </w:rPr>
        <w:t>4、社会保障资金缴纳证明：提供自2025年2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人/负责人授权书：法定代表人/负责人直接参加投标的，只须递交《法定代表人/负责人身份证明书》，法定代表人/负责人授权代表参加投标的，须递交《法定代表人/负责人授权委托书》，并提供被授权人截止开标前近三个月在本公司的社会保障资金缴纳证明；</w:t>
      </w:r>
    </w:p>
    <w:p>
      <w:pPr>
        <w:pStyle w:val="null3"/>
      </w:pPr>
      <w:r>
        <w:rPr>
          <w:rFonts w:ascii="仿宋_GB2312" w:hAnsi="仿宋_GB2312" w:cs="仿宋_GB2312" w:eastAsia="仿宋_GB2312"/>
        </w:rPr>
        <w:t>6、无重大违法记录：供应商需在电子化交易系统中按要求提供《无重大违法记录声明》；</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7、供应商应具有履行合同所必需的设备和专业技术能力：供应商需提供《具有履行合同所必需的设备和专业技术能力的承诺书》，格式自拟,。</w:t>
      </w:r>
    </w:p>
    <w:p>
      <w:pPr>
        <w:pStyle w:val="null3"/>
      </w:pPr>
      <w:r>
        <w:rPr>
          <w:rFonts w:ascii="仿宋_GB2312" w:hAnsi="仿宋_GB2312" w:cs="仿宋_GB2312" w:eastAsia="仿宋_GB2312"/>
        </w:rPr>
        <w:t>8、法定计量检定机构计量检测授权证书：须具备中华人民共和国市场监督管理总局颁发的法定计量检定机构计量检测授权证书（含陕西省依法设置或陕西省市场监督管理局依法授权的法定计量检定机构），授权附件区域范围须满足陕西省行政区域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西安市第九医院经办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根据《计量法》要求，为确保医用诊断治疗设备的测量安全、准确，需对我院2025年度医用计量设备进行计量校准。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全院医用计量设备校准服务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标的名称：全院医用计量设备校准服务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技术参数要求：</w:t>
            </w:r>
          </w:p>
          <w:p>
            <w:pPr>
              <w:pStyle w:val="null3"/>
            </w:pPr>
            <w:r>
              <w:rPr>
                <w:rFonts w:ascii="仿宋_GB2312" w:hAnsi="仿宋_GB2312" w:cs="仿宋_GB2312" w:eastAsia="仿宋_GB2312"/>
                <w:sz w:val="24"/>
              </w:rPr>
              <w:t>1.1</w:t>
            </w:r>
            <w:r>
              <w:rPr>
                <w:rFonts w:ascii="仿宋_GB2312" w:hAnsi="仿宋_GB2312" w:cs="仿宋_GB2312" w:eastAsia="仿宋_GB2312"/>
                <w:sz w:val="24"/>
              </w:rPr>
              <w:t>、协助采购人以国家市场监督管理局的要求为标准完成全院强检医疗设备在中国电子质量监督（e-CQS） 系统上的登记造册，要求在合同签订后 30 天内完成。</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1.2</w:t>
            </w:r>
            <w:r>
              <w:rPr>
                <w:rFonts w:ascii="仿宋_GB2312" w:hAnsi="仿宋_GB2312" w:cs="仿宋_GB2312" w:eastAsia="仿宋_GB2312"/>
                <w:sz w:val="24"/>
              </w:rPr>
              <w:t>、协助采购人建立计量管理台账，完成相关部门检查。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计量设备明细</w:t>
            </w:r>
          </w:p>
          <w:p>
            <w:pPr>
              <w:pStyle w:val="null3"/>
              <w:ind w:firstLine="480"/>
              <w:jc w:val="both"/>
            </w:pPr>
            <w:r>
              <w:rPr>
                <w:rFonts w:ascii="仿宋_GB2312" w:hAnsi="仿宋_GB2312" w:cs="仿宋_GB2312" w:eastAsia="仿宋_GB2312"/>
                <w:sz w:val="24"/>
              </w:rPr>
              <w:t>强检医用设备计量检定。根据强检系统分配情况，协调联系相关检定单位，按年检时限对全院强检医用设备进行计量检定，要求在采购人通知后15天内完成。</w:t>
            </w:r>
          </w:p>
          <w:tbl>
            <w:tblPr>
              <w:tblInd w:type="dxa" w:w="105"/>
              <w:tblBorders>
                <w:top w:val="single"/>
                <w:left w:val="single"/>
                <w:bottom w:val="single"/>
                <w:right w:val="single"/>
                <w:insideH w:val="single"/>
                <w:insideV w:val="single"/>
              </w:tblBorders>
            </w:tblPr>
            <w:tblGrid>
              <w:gridCol w:w="200"/>
              <w:gridCol w:w="1455"/>
              <w:gridCol w:w="205"/>
              <w:gridCol w:w="318"/>
              <w:gridCol w:w="367"/>
            </w:tblGrid>
            <w:tr>
              <w:tc>
                <w:tcPr>
                  <w:tcW w:type="dxa" w:w="200"/>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45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计量器具名称</w:t>
                  </w:r>
                </w:p>
              </w:tc>
              <w:tc>
                <w:tcPr>
                  <w:tcW w:type="dxa" w:w="20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31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单价限价</w:t>
                  </w:r>
                </w:p>
              </w:tc>
              <w:tc>
                <w:tcPr>
                  <w:tcW w:type="dxa" w:w="36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4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无创自动测量血压计（电子血压计）</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97</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无创非自动测量血压计（水银血压计）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眼压计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纯音听力计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阻抗听力计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焦度计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验光仪、综合验光仪</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验光镜片箱</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角膜曲率计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CT</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CR/DR</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数字胃肠机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DSA</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医用活度计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心电图仪</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脑电图仪</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多参数监护仪</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电子体温计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红外耳温仪</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压力表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5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合计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565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rFonts w:ascii="仿宋_GB2312" w:hAnsi="仿宋_GB2312" w:cs="仿宋_GB2312" w:eastAsia="仿宋_GB2312"/>
                <w:sz w:val="24"/>
              </w:rPr>
              <w:t>非强检医用计量设备</w:t>
            </w:r>
          </w:p>
          <w:p>
            <w:pPr>
              <w:pStyle w:val="null3"/>
              <w:ind w:firstLine="480"/>
              <w:jc w:val="both"/>
            </w:pPr>
            <w:r>
              <w:rPr>
                <w:rFonts w:ascii="仿宋_GB2312" w:hAnsi="仿宋_GB2312" w:cs="仿宋_GB2312" w:eastAsia="仿宋_GB2312"/>
                <w:sz w:val="24"/>
              </w:rPr>
              <w:t>非强检医用设备计量检定/校准。按年度时限对医院要求的需要计量检校的医疗设备，按国家检校规范进行计量检校工作，需在采购人通知后15天内完成。</w:t>
            </w:r>
          </w:p>
          <w:tbl>
            <w:tblPr>
              <w:tblInd w:type="dxa" w:w="105"/>
              <w:tblBorders>
                <w:top w:val="single"/>
                <w:left w:val="single"/>
                <w:bottom w:val="single"/>
                <w:right w:val="single"/>
                <w:insideH w:val="single"/>
                <w:insideV w:val="single"/>
              </w:tblBorders>
            </w:tblPr>
            <w:tblGrid>
              <w:gridCol w:w="200"/>
              <w:gridCol w:w="1440"/>
              <w:gridCol w:w="225"/>
              <w:gridCol w:w="411"/>
              <w:gridCol w:w="269"/>
            </w:tblGrid>
            <w:tr>
              <w:tc>
                <w:tcPr>
                  <w:tcW w:type="dxa" w:w="200"/>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4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计量器具名称</w:t>
                  </w:r>
                </w:p>
              </w:tc>
              <w:tc>
                <w:tcPr>
                  <w:tcW w:type="dxa" w:w="22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41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单价限价</w:t>
                  </w:r>
                </w:p>
              </w:tc>
              <w:tc>
                <w:tcPr>
                  <w:tcW w:type="dxa" w:w="26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红外体温计</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230.00</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戥秤</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医用超声源（黑白超声、彩色超声）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超声多普勒胎心仪、胎儿监护仪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纯水机(电导率仪)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体重秤（人体秤、婴儿秤）</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恒温水浴锅（水浴箱）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血球计数器/血细胞分析仪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洁净工作台(洁净度、风速、照度、噪声，振动)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氧气吸入器(氧气流量表、压力表）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墙式氧气吸入器（浮子流量计）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温度计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除颤仪/除颤监护仪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核磁共振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输液泵</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单通道注射泵</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双通道注射泵</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640.00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呼吸机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麻醉机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全自动生化分析仪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680.00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酶标仪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尿液分析仪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680.00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电子恒温培养箱/干燥箱（恒温设备）</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二氧化碳培养箱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医用冷藏箱（药品阴凉柜、冷冻箱）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婴儿培养箱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婴儿辐射保暖台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消毒灭菌锅(温度、压力)</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血液透析装置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生物安全柜</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脉搏血氧计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经颅多普勒血流分析仪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基因扩增仪(PCR)</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荧光免疫分析仪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肺功能仪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830.00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移液器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离心机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680.00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38</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高频电刀</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X</w:t>
                  </w:r>
                  <w:r>
                    <w:rPr>
                      <w:rFonts w:ascii="仿宋_GB2312" w:hAnsi="仿宋_GB2312" w:cs="仿宋_GB2312" w:eastAsia="仿宋_GB2312"/>
                      <w:sz w:val="24"/>
                    </w:rPr>
                    <w:t>射线骨密度仪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辐射检测仪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显微镜</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医用激光源</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43</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温湿度计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44</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电子天平（计价秤）</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游标卡尺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46</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全自动血流变分析仪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47</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全自动血凝分析仪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全自动糖化血红蛋白分析仪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49</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立式灭菌器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低温液体储罐</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临检设备</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根据医院要求临时需计量设备</w:t>
                  </w:r>
                </w:p>
              </w:tc>
            </w:tr>
            <w:tr>
              <w:tc>
                <w:tcPr>
                  <w:tcW w:type="dxa" w:w="164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合计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1736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质量要求：在设备计量检定/校准过程中，应使用国家计量检定规程或国家计量校准规范。</w:t>
            </w:r>
          </w:p>
          <w:p>
            <w:pPr>
              <w:pStyle w:val="null3"/>
              <w:jc w:val="left"/>
            </w:pPr>
            <w:r>
              <w:rPr>
                <w:rFonts w:ascii="仿宋_GB2312" w:hAnsi="仿宋_GB2312" w:cs="仿宋_GB2312" w:eastAsia="仿宋_GB2312"/>
                <w:sz w:val="24"/>
              </w:rPr>
              <w:t>检定/校准工作和服务质量应满足实验室质量体系文件的要求，设备计量检测对应国家计量技术规程规范中的要求。</w:t>
            </w:r>
          </w:p>
          <w:p>
            <w:pPr>
              <w:pStyle w:val="null3"/>
            </w:pPr>
            <w:r>
              <w:rPr>
                <w:rFonts w:ascii="仿宋_GB2312" w:hAnsi="仿宋_GB2312" w:cs="仿宋_GB2312" w:eastAsia="仿宋_GB2312"/>
                <w:sz w:val="24"/>
              </w:rPr>
              <w:t>所有计量数据均可溯源至国家基准，出具的证书、报告均应获得市场监管局认可。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服务期限1年,鉴定完毕1月后出具相关报告。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全年服务结束，验收合格且结算完毕之后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进入相关部门“黑名单”的供应商以及有行贿、串标等违法违规行为并经查实的供应商不能参与招标人采购项目的投标活动。对“黑名单”中供应商采取“一票否决”及“随时叫停”机制，在报名、资格审核、评审、公示、合同签订等各环节一旦发现并查实有行贿等违法违规行为的，立即取消其相关资格且终止合同签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法人提供自2025年2月1日以来至少一个月的纳税证明或完税证明，纳税证明或完税证明上应有代收机构或税务机关的公章或业务专用章；其他组织和自然人提供自2025年2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提供自2025年2月1日以来至少一个月已缴纳的社会保障资金的证明（社会保障资金缴存单据或社保机构开具的社会保险参保缴费情况证明等)；依法不需要缴纳社会保障资金的供应商应提供相关证明文件；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投标的，只须递交《法定代表人/负责人身份证明书》，法定代表人/负责人授权代表参加投标的，须递交《法定代表人/负责人授权委托书》，并提供被授权人截止开标前近三个月在本公司的社会保障资金缴纳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供应商需在电子化交易系统中按要求提供《无重大违法记录声明》；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供应商需提供《具有履行合同所必需的设备和专业技术能力的承诺书》，格式自拟,。</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法定计量检定机构计量检测授权证书</w:t>
            </w:r>
          </w:p>
        </w:tc>
        <w:tc>
          <w:tcPr>
            <w:tcW w:type="dxa" w:w="3322"/>
          </w:tcPr>
          <w:p>
            <w:pPr>
              <w:pStyle w:val="null3"/>
            </w:pPr>
            <w:r>
              <w:rPr>
                <w:rFonts w:ascii="仿宋_GB2312" w:hAnsi="仿宋_GB2312" w:cs="仿宋_GB2312" w:eastAsia="仿宋_GB2312"/>
              </w:rPr>
              <w:t>须具备中华人民共和国市场监督管理总局颁发的法定计量检定机构计量检测授权证书（含陕西省依法设置或陕西省市场监督管理局依法授权的法定计量检定机构），授权附件区域范围须满足陕西省行政区域内。</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分项报价表 中小企业声明函 报价表 供应商业绩 响应文件封面 其他材料 残疾人福利性单位声明函 供应商基本信息 供应商企业关联关系声明函 服务方案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供应商针对本项目制定的总体方案，包含①项目需求理解；②进度计划安排；③技术组织保障措施；④服务按时完成保障措施。 二、评审标准 1、完整性：方案须全面合理，架构完整，对评审内容中的各项要求有详细描述； 2、可实施性：切合本项目实际情况，实施步骤清晰、合理； 3、针对性：方案能够紧扣本项目实际情况，内容科学合理。 三、赋分依据（满分12分） 上述4项评审内容全部满足评审标准得12分；每有一个评审内容缺项扣3分，扣完为止；每有一项评审内容存在缺陷，扣（0-3）分。未提供得0分。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供应商针对本项目提供服务方案，内容包括：①针对本项目的工作流程；②医用设备计量器具登记及信息管理方案；③医用设备计量检定/校准方案；④成果汇总及整理方案。 二、评审标准 1、完整性：方案须全面合理，架构完整，对评审内容中的各项要求有详细描述； 2、可实施性：切合本项目实际情况，实施步骤清晰、合理； 3、针对性：方案能够紧扣本项目实际情况，内容科学合理。 三、赋分依据（满分12分） 上述4项评审内容全部满足评审标准得12分；每有一个评审内容缺项扣3分，扣完为止；每有一项评审内容存在缺陷，扣（0-3）分。未提供得0分。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供应商针对本项目提供质量保障措施，内容包括：①具备完善的服务质量、安全保障体系；②能满足采购人的多种需求的考虑及保证方案；③工作机制与质量体系管理机制；④检测质量保证目标。 二、评审标准 1、完整性：方案须全面合理，架构完整，对评审内容中的各项要求有详细描述； 2、可实施性：切合本项目实际情况，实施步骤清晰、合理； 3、针对性：方案能够紧扣本项目实际情况，内容科学合理。 三、赋分依据（满分12分） 上述4项评审内容全部满足评审标准得12分；每有一个评审内容缺项扣3分，扣完为止；每有一项评审内容存在缺陷，扣（0-3）分。 说明：缺陷是指内容没有结合项目实际需求、虽有内容但不完善、内容表述前后不一致或与项目需求不匹配及其他不利于项目实施的等任意一种情形。 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供应商针对本项目提供合理化建议，内容包括但不限于：①设备管理流程优化；②减少设备故障的措施。 二、评审标准 1、完整性：方案须全面合理，架构完整对评审内容中的各项要求有详细描述； 2、可实施性：切合本项目实际情况，实施步骤清晰、合理； 3、针对性：方案能够紧扣本项目实际情况，内容科学合理。 三、赋分依据（满分4分） 上述2项评审内容全部满足评审标准得4分；每有一个评审内容缺项扣2分，扣完为止；每有一项评审内容存在缺陷，扣（0-2）分。未提供得0分。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一、评审内容 供应商针对设备出现不同故障等级（紧急、严重、一般）有详细的应急措施和解决方案。内容包含：①处理流程、受理方法及技术人员、响应时间；②其他应急突发状况处置措施（包括但不限于供应商内部管理流程和工具配备等环节的紧急处理方案）。 二、评审标准 1、完整性：方案须全面合理，架构完整，对评审内容中的各项要求有详细描述； 2、可实施性：切合本项目实际情况，实施步骤清晰、合理； 3、针对性：方案能够紧扣本项目实际情况，内容科学合理。 三、赋分依据（满分6分） 上述2项评审内容全部满足评审标准得6分；每有一个评审内容缺项扣3分，扣完为止；每有一项评审内容存在缺陷，扣（0-3）分。未提供得0分。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供应商提供成果管理制度方案，包含①成果资料管理制度；②移交工作制度。 二、评审标准 1、完整性：方案须全面合理，架构完整，对评审内容中的各项要求有详细描述； 2、可实施性：切合本项目实际情况，实施步骤清晰、合理； 3、针对性：方案能够紧扣本项目实际情况，内容科学合理。 三、赋分依据（满分6分） 上述2项评审内容全部满足评审标准得6分；每有一个评审内容缺项扣3分，扣完为止；每有一项评审内容存在缺陷，扣（0-3）分。未提供得0分。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一、评审内容 针对本项目提供项目团队人员，内容包括:①拟投入团队服务人员人数及基本信息；②人员职责划分、业务管理流程方案；③项目负责人具有丰富的工作经验（包括但不限于人员履历简介、承担过项目介绍、人员相关资质证书等）；④项目团队人员应具有相关技术能力，提供人员职称证书或执业（职业）资格等相关证书。 二、评审标准 1、完整性：方案须全面，对评审内容中的各项要求有详细描述及说明； 2、可行性：切合本标段实际情况，提出步骤清晰的方案； 3、针对性：紧扣项目实际情况需求，内容切实合理。 三、赋分依据（满分14分） 上述4项评审内容全部满足评审标准得14分；每有一个评审内容缺项扣3.5分，扣完为止；每有一项评审内容存在缺陷，扣（0-3.5）分。未提供得0分。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检测设备配备情况</w:t>
            </w:r>
          </w:p>
        </w:tc>
        <w:tc>
          <w:tcPr>
            <w:tcW w:type="dxa" w:w="2492"/>
          </w:tcPr>
          <w:p>
            <w:pPr>
              <w:pStyle w:val="null3"/>
            </w:pPr>
            <w:r>
              <w:rPr>
                <w:rFonts w:ascii="仿宋_GB2312" w:hAnsi="仿宋_GB2312" w:cs="仿宋_GB2312" w:eastAsia="仿宋_GB2312"/>
              </w:rPr>
              <w:t>一、评审内容 针对本项目提供检测设备配备情况，内容包括:①提供拟投入本项目的检测设备清单；②提供设备的具体情况证明材料（包括但不限于设备使用年限、购置发票、实物照片等）。 二、评审标准 1、完整性：方案须全面，对评审内容中的各项要求有详细描述及说明； 2、可行性：切合本标段实际情况，提出步骤清晰的方案； 3、针对性：紧扣项目实际情况需求，内容切实合理。 三、赋分依据（满分9分） 上述2项评审内容全部满足评审标准得9分；每有一个评审内容缺项扣4.5分，扣完为止；每有一项评审内容存在缺陷，扣（0-4.5）分。未提供得0分。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提供供应商自2022年8月1日至响应文件递交截止时间前（以合同签订时间为准）同类项目业绩，需提供完整有效的合同复印件，每提供一份完整资料得2分，最多得10分。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满足采购文件要求且投标价格最低的投标报价为评标基准价，其价格分为满分。其他供应商的价格分统一按照下列公式计算：投标报价得分=(评标基准价／投标报价)×15。 注：计算分值时四舍五入取小数点后两位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