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版本号：QR-ZC-202503620250910001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2025年度网络安全维保项目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QR-ZC-2025036</w:t>
      </w:r>
      <w:r>
        <w:br/>
      </w:r>
      <w:r>
        <w:br/>
      </w:r>
      <w:r>
        <w:br/>
      </w:r>
    </w:p>
    <w:p>
      <w:pPr>
        <w:pStyle w:val="null3"/>
        <w:jc w:val="center"/>
        <w:outlineLvl w:val="2"/>
      </w:pPr>
      <w:r>
        <w:rPr>
          <w:rFonts w:ascii="仿宋_GB2312" w:hAnsi="仿宋_GB2312" w:cs="仿宋_GB2312" w:eastAsia="仿宋_GB2312"/>
          <w:sz w:val="28"/>
          <w:b/>
        </w:rPr>
        <w:t>西安住房公积金管理中心（本级）</w:t>
      </w:r>
    </w:p>
    <w:p>
      <w:pPr>
        <w:pStyle w:val="null3"/>
        <w:jc w:val="center"/>
        <w:outlineLvl w:val="2"/>
      </w:pPr>
      <w:r>
        <w:rPr>
          <w:rFonts w:ascii="仿宋_GB2312" w:hAnsi="仿宋_GB2312" w:cs="仿宋_GB2312" w:eastAsia="仿宋_GB2312"/>
          <w:sz w:val="28"/>
          <w:b/>
        </w:rPr>
        <w:t>陕西诠睿项目管理有限公司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陕西诠睿项目管理有限公司</w:t>
      </w:r>
      <w:r>
        <w:rPr>
          <w:rFonts w:ascii="仿宋_GB2312" w:hAnsi="仿宋_GB2312" w:cs="仿宋_GB2312" w:eastAsia="仿宋_GB2312"/>
        </w:rPr>
        <w:t>（以下简称“代理机构”）受</w:t>
      </w:r>
      <w:r>
        <w:rPr>
          <w:rFonts w:ascii="仿宋_GB2312" w:hAnsi="仿宋_GB2312" w:cs="仿宋_GB2312" w:eastAsia="仿宋_GB2312"/>
        </w:rPr>
        <w:t>西安住房公积金管理中心（本级）</w:t>
      </w:r>
      <w:r>
        <w:rPr>
          <w:rFonts w:ascii="仿宋_GB2312" w:hAnsi="仿宋_GB2312" w:cs="仿宋_GB2312" w:eastAsia="仿宋_GB2312"/>
        </w:rPr>
        <w:t>委托，拟对</w:t>
      </w:r>
      <w:r>
        <w:rPr>
          <w:rFonts w:ascii="仿宋_GB2312" w:hAnsi="仿宋_GB2312" w:cs="仿宋_GB2312" w:eastAsia="仿宋_GB2312"/>
        </w:rPr>
        <w:t>2025年度网络安全维保项目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QR-ZC-2025036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2025年度网络安全维保项目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度网络安全维保项目将于2025年9月份到期，为确保公积金业务系统的安全稳定运行，增强系统维护的技术力量，保证中心信息和网络系统的安全、稳定，防止系统脱保，拟采购2025年度网络设备及安全维保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的法人或其他组织或自然人，投标（响应）时提交有效的营业执照（或事业法人登记证或身份证等相关证明）副本复印件。分支机构参与的，须提供总公司和分公司营业执照副本复印件及总公司出具给分支机构的授权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3、社会保障资金缴纳证明：提供2024年9月至今至少一个月的社会保障资金缴存单据或社保机构开具的社会保险参保缴费情况证明，依法不需要缴纳社会保障资金的单位应提供相关证明材料；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4、税收缴纳证明：提供2024年9月至今至少一个月已缴纳的增值税或营业税或企业所得税或印花税的凭据或完税证明；依法免税的投标人应提供相关证明文件；</w:t>
      </w:r>
    </w:p>
    <w:p>
      <w:pPr>
        <w:pStyle w:val="null3"/>
      </w:pPr>
      <w:r>
        <w:rPr>
          <w:rFonts w:ascii="仿宋_GB2312" w:hAnsi="仿宋_GB2312" w:cs="仿宋_GB2312" w:eastAsia="仿宋_GB2312"/>
        </w:rPr>
        <w:t>5、专业技术能力的声明：提供具有履行本合同所必需的专业技术能力的声明。</w:t>
      </w:r>
    </w:p>
    <w:p>
      <w:pPr>
        <w:pStyle w:val="null3"/>
      </w:pPr>
      <w:r>
        <w:rPr>
          <w:rFonts w:ascii="仿宋_GB2312" w:hAnsi="仿宋_GB2312" w:cs="仿宋_GB2312" w:eastAsia="仿宋_GB2312"/>
        </w:rPr>
        <w:t>6、无重大违法记录声明：参加本次政府采购活动前3年内在经营活动中没有重大违纪的声明。</w:t>
      </w:r>
    </w:p>
    <w:p>
      <w:pPr>
        <w:pStyle w:val="null3"/>
      </w:pPr>
      <w:r>
        <w:rPr>
          <w:rFonts w:ascii="仿宋_GB2312" w:hAnsi="仿宋_GB2312" w:cs="仿宋_GB2312" w:eastAsia="仿宋_GB2312"/>
        </w:rPr>
        <w:t>7、法定代表人授权书/身份证明书：法定代表人直接参与磋商的，须出具法定代表人身份证明书及身份证扫描件；法定代表人授权代表参与磋商的，须出具法定代表人授权书及授权代表身份证扫描件。</w:t>
      </w:r>
    </w:p>
    <w:p>
      <w:pPr>
        <w:pStyle w:val="null3"/>
      </w:pPr>
      <w:r>
        <w:rPr>
          <w:rFonts w:ascii="仿宋_GB2312" w:hAnsi="仿宋_GB2312" w:cs="仿宋_GB2312" w:eastAsia="仿宋_GB2312"/>
        </w:rPr>
        <w:t>8、信用记录查询结果：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人于投标（响应）截止时间当天在评审系统查询的结果为准，如相关失信记录已失效，供应商需提供相关证明资料） 单位负责人为同一人或者存在直接控股、管理关系的不同供应商，不得同时参加本采购项目。为本项目提供整体设计、规范编制或者项目管理、监理、检测等服务的供应商，不得再参与本项目。</w:t>
      </w:r>
    </w:p>
    <w:p>
      <w:pPr>
        <w:pStyle w:val="null3"/>
      </w:pPr>
      <w:r>
        <w:rPr>
          <w:rFonts w:ascii="仿宋_GB2312" w:hAnsi="仿宋_GB2312" w:cs="仿宋_GB2312" w:eastAsia="仿宋_GB2312"/>
        </w:rPr>
        <w:t>9、企业关联关系声明：单位负责人为同一人或者存在直接控股、管理关系的不同供应商，不得同时参加本采购项目。为本项目提供整体设计、规范编制或者项目管理、监理、检测等服务的供应商，不得再参与本项目。</w:t>
      </w:r>
    </w:p>
    <w:p>
      <w:pPr>
        <w:pStyle w:val="null3"/>
      </w:pPr>
      <w:r>
        <w:rPr>
          <w:rFonts w:ascii="仿宋_GB2312" w:hAnsi="仿宋_GB2312" w:cs="仿宋_GB2312" w:eastAsia="仿宋_GB2312"/>
        </w:rPr>
        <w:t>10、非联合体响应：提供非联合体不分包响应声明。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西安住房公积金管理中心（本级）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陕西省西安市碑林区振兴路137号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029-89650829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陕西诠睿项目管理有限公司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陕西省西安市雁塔区小寨街道momopark写字楼7号楼一单元1502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15609298989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采购包1：478,200.00元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8000元按照8000元收取。具体收费金额在成交公告中公布。 2.代理服务费缴纳账户信息： 户名：陕西诠睿项目管理有限公司 开户行名称：中国建设银行股份有限公司西安莲湖路支行 账号：61050171390000000144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西安住房公积金管理中心（本级）</w:t>
      </w:r>
      <w:r>
        <w:rPr>
          <w:rFonts w:ascii="仿宋_GB2312" w:hAnsi="仿宋_GB2312" w:cs="仿宋_GB2312" w:eastAsia="仿宋_GB2312"/>
        </w:rPr>
        <w:t>和</w:t>
      </w:r>
      <w:r>
        <w:rPr>
          <w:rFonts w:ascii="仿宋_GB2312" w:hAnsi="仿宋_GB2312" w:cs="仿宋_GB2312" w:eastAsia="仿宋_GB2312"/>
        </w:rPr>
        <w:t>陕西诠睿项目管理有限公司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西安住房公积金管理中心（本级）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陕西诠睿项目管理有限公司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西安住房公积金管理中心（本级）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陕西诠睿项目管理有限公司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陕西诠睿项目管理有限公司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联系人：王春玲</w:t>
      </w:r>
    </w:p>
    <w:p>
      <w:pPr>
        <w:pStyle w:val="null3"/>
      </w:pPr>
      <w:r>
        <w:rPr>
          <w:rFonts w:ascii="仿宋_GB2312" w:hAnsi="仿宋_GB2312" w:cs="仿宋_GB2312" w:eastAsia="仿宋_GB2312"/>
        </w:rPr>
        <w:t>联系电话：15609298989</w:t>
      </w:r>
    </w:p>
    <w:p>
      <w:pPr>
        <w:pStyle w:val="null3"/>
      </w:pPr>
      <w:r>
        <w:rPr>
          <w:rFonts w:ascii="仿宋_GB2312" w:hAnsi="仿宋_GB2312" w:cs="仿宋_GB2312" w:eastAsia="仿宋_GB2312"/>
        </w:rPr>
        <w:t>地址：陕西省西安市雁塔区小寨街道momopark写字楼7号楼一单元1502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度网络安全维保项目将于2025年9月份到期，为确保公积金业务系统的安全稳定运行，增强系统维护的技术力量，保证中心信息和网络系统的安全、稳定，防止系统脱保，拟采购2025年度网络设备及安全维保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478,200.00</w:t>
      </w:r>
    </w:p>
    <w:p>
      <w:pPr>
        <w:pStyle w:val="null3"/>
      </w:pPr>
      <w:r>
        <w:rPr>
          <w:rFonts w:ascii="仿宋_GB2312" w:hAnsi="仿宋_GB2312" w:cs="仿宋_GB2312" w:eastAsia="仿宋_GB2312"/>
        </w:rPr>
        <w:t>采购包最高限价（元）: 478,200.00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2025年度网络安全维保项目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478,200.00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标的名称：2025年度网络安全维保项目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一、服务内容</w:t>
            </w:r>
          </w:p>
          <w:p>
            <w:pPr>
              <w:pStyle w:val="null3"/>
              <w:ind w:firstLine="480"/>
              <w:jc w:val="left"/>
            </w:pP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年度网络</w:t>
            </w:r>
            <w:r>
              <w:rPr>
                <w:rFonts w:ascii="仿宋_GB2312" w:hAnsi="仿宋_GB2312" w:cs="仿宋_GB2312" w:eastAsia="仿宋_GB2312"/>
                <w:sz w:val="24"/>
              </w:rPr>
              <w:t>安全维保包括对西安住房公积金管理中心所使用的信息系统、服务器、网络设备、软硬件开展安全评估服务、安全加固服务、安全应急与保障服务、安全咨询与培训服务、安全运维管理、互联网敏感信息服务、安全情报通告服务、安全审计服务、攻防演练（检测）服务、开源组件检测服务、安全运维管理、数据安全风险评估服务、数据安全制度建设、安全应急演练、技术人员驻场服务。</w:t>
            </w:r>
          </w:p>
          <w:p>
            <w:pPr>
              <w:pStyle w:val="null3"/>
              <w:ind w:firstLine="480"/>
              <w:jc w:val="both"/>
            </w:pPr>
            <w:r>
              <w:rPr>
                <w:rFonts w:ascii="仿宋_GB2312" w:hAnsi="仿宋_GB2312" w:cs="仿宋_GB2312" w:eastAsia="仿宋_GB2312"/>
                <w:sz w:val="24"/>
              </w:rPr>
              <w:t>维保</w:t>
            </w:r>
            <w:r>
              <w:rPr>
                <w:rFonts w:ascii="仿宋_GB2312" w:hAnsi="仿宋_GB2312" w:cs="仿宋_GB2312" w:eastAsia="仿宋_GB2312"/>
                <w:sz w:val="24"/>
              </w:rPr>
              <w:t>内容</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267"/>
              <w:gridCol w:w="325"/>
              <w:gridCol w:w="520"/>
              <w:gridCol w:w="1175"/>
              <w:gridCol w:w="267"/>
            </w:tblGrid>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84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服务内容</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安全评估服务</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信息资产梳理</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定期</w:t>
                  </w:r>
                  <w:r>
                    <w:rPr>
                      <w:rFonts w:ascii="仿宋_GB2312" w:hAnsi="仿宋_GB2312" w:cs="仿宋_GB2312" w:eastAsia="仿宋_GB2312"/>
                      <w:sz w:val="24"/>
                      <w:color w:val="000000"/>
                    </w:rPr>
                    <w:t>通过专业设备对提供服务的信息资产进行全面梳理</w:t>
                  </w:r>
                  <w:r>
                    <w:rPr>
                      <w:rFonts w:ascii="仿宋_GB2312" w:hAnsi="仿宋_GB2312" w:cs="仿宋_GB2312" w:eastAsia="仿宋_GB2312"/>
                      <w:sz w:val="24"/>
                      <w:color w:val="000000"/>
                    </w:rPr>
                    <w:t>。</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Web安全治理</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定期对</w:t>
                  </w:r>
                  <w:r>
                    <w:rPr>
                      <w:rFonts w:ascii="仿宋_GB2312" w:hAnsi="仿宋_GB2312" w:cs="仿宋_GB2312" w:eastAsia="仿宋_GB2312"/>
                      <w:sz w:val="24"/>
                      <w:color w:val="000000"/>
                    </w:rPr>
                    <w:t>Web资产列表</w:t>
                  </w:r>
                  <w:r>
                    <w:rPr>
                      <w:rFonts w:ascii="仿宋_GB2312" w:hAnsi="仿宋_GB2312" w:cs="仿宋_GB2312" w:eastAsia="仿宋_GB2312"/>
                      <w:sz w:val="24"/>
                      <w:color w:val="000000"/>
                    </w:rPr>
                    <w:t>进行梳理</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脆弱性检查</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通过专业的系统漏洞扫描、</w:t>
                  </w:r>
                  <w:r>
                    <w:rPr>
                      <w:rFonts w:ascii="仿宋_GB2312" w:hAnsi="仿宋_GB2312" w:cs="仿宋_GB2312" w:eastAsia="仿宋_GB2312"/>
                      <w:sz w:val="24"/>
                      <w:color w:val="000000"/>
                    </w:rPr>
                    <w:t>Web漏洞扫描对内外的各类主机、网络设备、服务器、网站、数据库等进行漏洞扫描</w:t>
                  </w:r>
                  <w:r>
                    <w:rPr>
                      <w:rFonts w:ascii="仿宋_GB2312" w:hAnsi="仿宋_GB2312" w:cs="仿宋_GB2312" w:eastAsia="仿宋_GB2312"/>
                      <w:sz w:val="24"/>
                      <w:color w:val="000000"/>
                    </w:rPr>
                    <w:t>与恶意代码检测</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安全配置核查服务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通过专业的安全配置核查工具，对重要网络设备、服务器、网站、数据库等进行安全配置核查</w:t>
                  </w:r>
                  <w:r>
                    <w:rPr>
                      <w:rFonts w:ascii="仿宋_GB2312" w:hAnsi="仿宋_GB2312" w:cs="仿宋_GB2312" w:eastAsia="仿宋_GB2312"/>
                      <w:sz w:val="24"/>
                      <w:color w:val="000000"/>
                    </w:rPr>
                    <w:t>。</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渗透测试服务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通过模拟黑客的方式对重要业务信息系统进行黑盒测试，发现各类安全隐患，逻辑漏洞等自动化工具不能发现的漏洞</w:t>
                  </w:r>
                  <w:r>
                    <w:rPr>
                      <w:rFonts w:ascii="仿宋_GB2312" w:hAnsi="仿宋_GB2312" w:cs="仿宋_GB2312" w:eastAsia="仿宋_GB2312"/>
                      <w:sz w:val="24"/>
                      <w:color w:val="000000"/>
                    </w:rPr>
                    <w:t>。</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安全设备巡检服务与风险性评估</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通过人工检查、测试等方式，对用户安全设备策略有效性进行评估，并协助调整策略</w:t>
                  </w:r>
                  <w:r>
                    <w:rPr>
                      <w:rFonts w:ascii="仿宋_GB2312" w:hAnsi="仿宋_GB2312" w:cs="仿宋_GB2312" w:eastAsia="仿宋_GB2312"/>
                      <w:sz w:val="24"/>
                      <w:color w:val="000000"/>
                    </w:rPr>
                    <w:t>。</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安全加固服务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针对安全评估发现的各类安全风险和权威机构发布的重大安全漏洞、危险，从管理和技术等角度制定有针对性的整改和加固方案</w:t>
                  </w:r>
                  <w:r>
                    <w:rPr>
                      <w:rFonts w:ascii="仿宋_GB2312" w:hAnsi="仿宋_GB2312" w:cs="仿宋_GB2312" w:eastAsia="仿宋_GB2312"/>
                      <w:sz w:val="24"/>
                      <w:color w:val="000000"/>
                    </w:rPr>
                    <w:t>和预警报告。</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4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安全应急与保障服务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在发生各类网络安全事件时，第一时间提供应急响应和处置服务，及时采取有效的应对措施</w:t>
                  </w:r>
                  <w:r>
                    <w:rPr>
                      <w:rFonts w:ascii="仿宋_GB2312" w:hAnsi="仿宋_GB2312" w:cs="仿宋_GB2312" w:eastAsia="仿宋_GB2312"/>
                      <w:sz w:val="24"/>
                      <w:color w:val="000000"/>
                    </w:rPr>
                    <w:t>。</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tcBorders>
                    <w:top w:val="none" w:color="000000" w:sz="4"/>
                    <w:left w:val="single" w:color="000000" w:sz="4"/>
                    <w:bottom w:val="single" w:color="000000" w:sz="4"/>
                    <w:right w:val="single" w:color="000000" w:sz="4"/>
                  </w:tcBorders>
                </w:tcPr>
                <w:p/>
              </w:tc>
              <w:tc>
                <w:tcPr>
                  <w:tcW w:type="dxa" w:w="845"/>
                  <w:gridSpan w:val="2"/>
                  <w:vMerge/>
                  <w:tcBorders>
                    <w:top w:val="none" w:color="000000" w:sz="4"/>
                    <w:left w:val="single" w:color="000000" w:sz="4"/>
                    <w:bottom w:val="single" w:color="000000" w:sz="4"/>
                    <w:right w:val="single" w:color="000000" w:sz="4"/>
                  </w:tcBorders>
                </w:tc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对服务方的办公计算机提供杀毒、系统升级等服务。</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tcBorders>
                    <w:top w:val="none" w:color="000000" w:sz="4"/>
                    <w:left w:val="single" w:color="000000" w:sz="4"/>
                    <w:bottom w:val="single" w:color="000000" w:sz="4"/>
                    <w:right w:val="single" w:color="000000" w:sz="4"/>
                  </w:tcBorders>
                </w:tcPr>
                <w:p/>
              </w:tc>
              <w:tc>
                <w:tcPr>
                  <w:tcW w:type="dxa" w:w="845"/>
                  <w:gridSpan w:val="2"/>
                  <w:vMerge/>
                  <w:tcBorders>
                    <w:top w:val="none" w:color="000000" w:sz="4"/>
                    <w:left w:val="single" w:color="000000" w:sz="4"/>
                    <w:bottom w:val="single" w:color="000000" w:sz="4"/>
                    <w:right w:val="single" w:color="000000" w:sz="4"/>
                  </w:tcBorders>
                </w:tc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为用户参加网安部门组织的护网、安全演练等活动提供安全设备和人员保障。</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安全咨询与培训服务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调研当前</w:t>
                  </w:r>
                  <w:r>
                    <w:rPr>
                      <w:rFonts w:ascii="仿宋_GB2312" w:hAnsi="仿宋_GB2312" w:cs="仿宋_GB2312" w:eastAsia="仿宋_GB2312"/>
                      <w:sz w:val="24"/>
                      <w:color w:val="000000"/>
                    </w:rPr>
                    <w:t>网络安全现状，分析存在的安全风险，协助规划设计网络安全防护体系，</w:t>
                  </w:r>
                  <w:r>
                    <w:rPr>
                      <w:rFonts w:ascii="仿宋_GB2312" w:hAnsi="仿宋_GB2312" w:cs="仿宋_GB2312" w:eastAsia="仿宋_GB2312"/>
                      <w:sz w:val="24"/>
                      <w:color w:val="000000"/>
                    </w:rPr>
                    <w:t>建立安全制度体系，</w:t>
                  </w:r>
                  <w:r>
                    <w:rPr>
                      <w:rFonts w:ascii="仿宋_GB2312" w:hAnsi="仿宋_GB2312" w:cs="仿宋_GB2312" w:eastAsia="仿宋_GB2312"/>
                      <w:sz w:val="24"/>
                      <w:color w:val="000000"/>
                    </w:rPr>
                    <w:t>构建全面安全的管理体系，提升网络安全风险管控能力。</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互联网敏感信息服务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通过对互联网监测服务，协助用户摸底资产暴露情况</w:t>
                  </w:r>
                  <w:r>
                    <w:rPr>
                      <w:rFonts w:ascii="仿宋_GB2312" w:hAnsi="仿宋_GB2312" w:cs="仿宋_GB2312" w:eastAsia="仿宋_GB2312"/>
                      <w:sz w:val="24"/>
                      <w:color w:val="000000"/>
                    </w:rPr>
                    <w:t>。</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安全情报通告服务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实时跟踪网络安全热点事件和漏洞，第一时间向客户提供及时、准确的安全风险预警</w:t>
                  </w:r>
                  <w:r>
                    <w:rPr>
                      <w:rFonts w:ascii="仿宋_GB2312" w:hAnsi="仿宋_GB2312" w:cs="仿宋_GB2312" w:eastAsia="仿宋_GB2312"/>
                      <w:sz w:val="24"/>
                      <w:color w:val="000000"/>
                    </w:rPr>
                    <w:t>。</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4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安全审计服务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执行层安全策略审计服务。</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tcBorders>
                    <w:top w:val="none" w:color="000000" w:sz="4"/>
                    <w:left w:val="single" w:color="000000" w:sz="4"/>
                    <w:bottom w:val="single" w:color="000000" w:sz="4"/>
                    <w:right w:val="single" w:color="000000" w:sz="4"/>
                  </w:tcBorders>
                </w:tcPr>
                <w:p/>
              </w:tc>
              <w:tc>
                <w:tcPr>
                  <w:tcW w:type="dxa" w:w="845"/>
                  <w:gridSpan w:val="2"/>
                  <w:vMerge/>
                  <w:tcBorders>
                    <w:top w:val="none" w:color="000000" w:sz="4"/>
                    <w:left w:val="single" w:color="000000" w:sz="4"/>
                    <w:bottom w:val="single" w:color="000000" w:sz="4"/>
                    <w:right w:val="single" w:color="000000" w:sz="4"/>
                  </w:tcBorders>
                </w:tc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安全设备策略审计服务。</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vMerge/>
                  <w:tcBorders>
                    <w:top w:val="none" w:color="000000" w:sz="4"/>
                    <w:left w:val="single" w:color="000000" w:sz="4"/>
                    <w:bottom w:val="single" w:color="000000" w:sz="4"/>
                    <w:right w:val="single" w:color="000000" w:sz="4"/>
                  </w:tcBorders>
                </w:tcPr>
                <w:p/>
              </w:tc>
              <w:tc>
                <w:tcPr>
                  <w:tcW w:type="dxa" w:w="845"/>
                  <w:gridSpan w:val="2"/>
                  <w:vMerge/>
                  <w:tcBorders>
                    <w:top w:val="none" w:color="000000" w:sz="4"/>
                    <w:left w:val="single" w:color="000000" w:sz="4"/>
                    <w:bottom w:val="single" w:color="000000" w:sz="4"/>
                    <w:right w:val="single" w:color="000000" w:sz="4"/>
                  </w:tcBorders>
                </w:tcP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安全设备日志审计服务。</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攻防演练（检测）服务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对目标开展攻防演练服务。</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开源组件检测服务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使用最新的漏洞库对用户使用的开源组件提供安全检测，确保用户现网安全。</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安全运维管理</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建立安全运维服务体系，通过本地安全管理中心，实现态势感知、监控安全环境及感知安全威胁等服务，实现各项安全管理与服务功能。</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数据安全风险评估服务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网络安全法》《数据安全法》《个人信息保护法》等法律法规要求，结合单位数据治理工作现状，对数据安全管理、数据处理活动和数据安全技术情况等进行综合评估，发现存在的安全问题和风险隐患，依照法律法规和行业要求，并协助进行合规与整改，进一步提高数据安全能力。</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数据安全制度建设</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立健全数据安全制度规范体系，制定包括数据分类分级、访问权限、共享开放、脱敏销毁、日志审计、监督检查、应急处置等各种安全管理活动中的流程和管理制度、操作规程等，以指导数据安全技术体系的实现和合理使用，促进用户数据安全管理工作标准化、流程化、规范化，使各项数据安全管理工作有规可依。</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8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安全应急演练</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期开展网络与数据安全应急演练，检验用户网络与数据安全应急处理预案的完善性和指导性，以确保能够在发生安全事件时采取迅速、有效的应对措施，最大程度地减少损失并保护信息资产，并通过后续的总结，完善应急演练方案、改进应急操作及流程、全面提高应急处理的应急响应能力。</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rPr>
              <w:t>二、技术要求</w:t>
            </w:r>
          </w:p>
          <w:p>
            <w:pPr>
              <w:pStyle w:val="null3"/>
              <w:ind w:firstLine="480"/>
              <w:jc w:val="both"/>
            </w:pPr>
            <w:r>
              <w:rPr>
                <w:rFonts w:ascii="仿宋_GB2312" w:hAnsi="仿宋_GB2312" w:cs="仿宋_GB2312" w:eastAsia="仿宋_GB2312"/>
                <w:sz w:val="24"/>
              </w:rPr>
              <w:t>对服务清单内的服务内容提供</w:t>
            </w:r>
            <w:r>
              <w:rPr>
                <w:rFonts w:ascii="仿宋_GB2312" w:hAnsi="仿宋_GB2312" w:cs="仿宋_GB2312" w:eastAsia="仿宋_GB2312"/>
                <w:sz w:val="24"/>
              </w:rPr>
              <w:t>7×24小时的维保服务。在服务周期内，维保项目内的服务在维护过程中所产生的费用，全部由服务方承担，接受服务方不承担任何费用。</w:t>
            </w:r>
          </w:p>
          <w:p>
            <w:pPr>
              <w:pStyle w:val="null3"/>
              <w:ind w:firstLine="480"/>
              <w:jc w:val="left"/>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（一）所有信息系统软硬件依据安全运维工作要求，按照每日、每周、季度、半年、和年度维护的不同需求开展安全运维工作，并向接受服务方提供书面维护报告。</w:t>
            </w:r>
          </w:p>
          <w:p>
            <w:pPr>
              <w:pStyle w:val="null3"/>
              <w:ind w:firstLine="480"/>
              <w:jc w:val="both"/>
            </w:pPr>
            <w:r>
              <w:rPr>
                <w:rFonts w:ascii="仿宋_GB2312" w:hAnsi="仿宋_GB2312" w:cs="仿宋_GB2312" w:eastAsia="仿宋_GB2312"/>
                <w:sz w:val="24"/>
              </w:rPr>
              <w:t>（二）本项目小组人员工程师须不少于</w:t>
            </w:r>
            <w:r>
              <w:rPr>
                <w:rFonts w:ascii="仿宋_GB2312" w:hAnsi="仿宋_GB2312" w:cs="仿宋_GB2312" w:eastAsia="仿宋_GB2312"/>
                <w:sz w:val="24"/>
              </w:rPr>
              <w:t>4名，提供至少一人的驻场服务（人员需经接受服务方同意），需取得相关专业认证（安全驻场须持有相关网络安全认证或市场主要安全设备厂商认证，需提供所有项目小组工程师证书验真网址及工程师在服务商公司2024年度整年社保缴纳证明文件）。</w:t>
            </w:r>
          </w:p>
          <w:p>
            <w:pPr>
              <w:pStyle w:val="null3"/>
              <w:ind w:firstLine="480"/>
              <w:jc w:val="both"/>
            </w:pPr>
            <w:r>
              <w:rPr>
                <w:rFonts w:ascii="仿宋_GB2312" w:hAnsi="仿宋_GB2312" w:cs="仿宋_GB2312" w:eastAsia="仿宋_GB2312"/>
                <w:sz w:val="24"/>
              </w:rPr>
              <w:t>（三）按照等保三级要求建立安全管理中心，依托安全管理中心开展各项各项服务，实现系统管理、审计管理、安全管理集中管控等功能。</w:t>
            </w:r>
          </w:p>
          <w:p>
            <w:pPr>
              <w:pStyle w:val="null3"/>
              <w:ind w:firstLine="480"/>
              <w:jc w:val="both"/>
            </w:pPr>
            <w:r>
              <w:rPr>
                <w:rFonts w:ascii="仿宋_GB2312" w:hAnsi="仿宋_GB2312" w:cs="仿宋_GB2312" w:eastAsia="仿宋_GB2312"/>
                <w:sz w:val="24"/>
              </w:rPr>
              <w:t>（四）服务响应时间：半小时内做出响应，三小时内排除故障，</w:t>
            </w:r>
            <w:r>
              <w:rPr>
                <w:rFonts w:ascii="仿宋_GB2312" w:hAnsi="仿宋_GB2312" w:cs="仿宋_GB2312" w:eastAsia="仿宋_GB2312"/>
                <w:sz w:val="24"/>
              </w:rPr>
              <w:t>95%的故障或安全事件应在以上规定时间内得到解决。</w:t>
            </w:r>
          </w:p>
          <w:p>
            <w:pPr>
              <w:pStyle w:val="null3"/>
              <w:ind w:firstLine="480"/>
              <w:jc w:val="both"/>
            </w:pPr>
            <w:r>
              <w:rPr>
                <w:rFonts w:ascii="仿宋_GB2312" w:hAnsi="仿宋_GB2312" w:cs="仿宋_GB2312" w:eastAsia="仿宋_GB2312"/>
                <w:sz w:val="24"/>
              </w:rPr>
              <w:t>（五）日常工作中驻场人员利用中心现有安全系统和自带的安全运维平台，做好对中心各类信息系统软硬件的安全监控，按《网络安全法》等相关规定要求，做好各类软硬件系统的信息安全巡检并出具书面报告，对检查出的安全问题和通报的系统漏洞，向系统运维方提出整改建议，在系统运维方完成整改后对修复结果进行检查；根据等保测评和渗透性测试等安全检查结果，配合服务方做好各项整改和复测工作，对系统的升级加固工作完成情况进行确认，并协助服务方落实其他各项安全措施。</w:t>
            </w:r>
          </w:p>
          <w:p>
            <w:pPr>
              <w:pStyle w:val="null3"/>
              <w:ind w:firstLine="480"/>
              <w:jc w:val="both"/>
            </w:pPr>
            <w:r>
              <w:rPr>
                <w:rFonts w:ascii="仿宋_GB2312" w:hAnsi="仿宋_GB2312" w:cs="仿宋_GB2312" w:eastAsia="仿宋_GB2312"/>
                <w:sz w:val="24"/>
              </w:rPr>
              <w:t>（六）日常工作中做好对服务清单内涉及的各类信息资产的管理，按《数据安全法》的相关规定要求，对服务中产生的数据、配置文件等信息资产，实现科学、规范和高效的管理；根据运维工作需要，对资产进行定期检查和评估，及时发现并处理数据安全的隐患和问题，提高数据管理的规范性和效率。</w:t>
            </w:r>
          </w:p>
          <w:p>
            <w:pPr>
              <w:pStyle w:val="null3"/>
              <w:ind w:firstLine="480"/>
              <w:jc w:val="both"/>
            </w:pPr>
            <w:r>
              <w:rPr>
                <w:rFonts w:ascii="仿宋_GB2312" w:hAnsi="仿宋_GB2312" w:cs="仿宋_GB2312" w:eastAsia="仿宋_GB2312"/>
                <w:sz w:val="24"/>
              </w:rPr>
              <w:t>（七）根据信创工作的要求，对涉及到国产化要求的软硬件产品提供</w:t>
            </w:r>
            <w:r>
              <w:rPr>
                <w:rFonts w:ascii="仿宋_GB2312" w:hAnsi="仿宋_GB2312" w:cs="仿宋_GB2312" w:eastAsia="仿宋_GB2312"/>
                <w:sz w:val="24"/>
              </w:rPr>
              <w:t>的安装、调试和有关配置工作，进行实际的测试。在与</w:t>
            </w:r>
            <w:r>
              <w:rPr>
                <w:rFonts w:ascii="仿宋_GB2312" w:hAnsi="仿宋_GB2312" w:cs="仿宋_GB2312" w:eastAsia="仿宋_GB2312"/>
                <w:sz w:val="24"/>
              </w:rPr>
              <w:t>现</w:t>
            </w:r>
            <w:r>
              <w:rPr>
                <w:rFonts w:ascii="仿宋_GB2312" w:hAnsi="仿宋_GB2312" w:cs="仿宋_GB2312" w:eastAsia="仿宋_GB2312"/>
                <w:sz w:val="24"/>
              </w:rPr>
              <w:t>有</w:t>
            </w:r>
            <w:r>
              <w:rPr>
                <w:rFonts w:ascii="仿宋_GB2312" w:hAnsi="仿宋_GB2312" w:cs="仿宋_GB2312" w:eastAsia="仿宋_GB2312"/>
                <w:sz w:val="24"/>
              </w:rPr>
              <w:t>软件系统和硬件</w:t>
            </w:r>
            <w:r>
              <w:rPr>
                <w:rFonts w:ascii="仿宋_GB2312" w:hAnsi="仿宋_GB2312" w:cs="仿宋_GB2312" w:eastAsia="仿宋_GB2312"/>
                <w:sz w:val="24"/>
              </w:rPr>
              <w:t>设备的连接与调试工作，以及</w:t>
            </w:r>
            <w:r>
              <w:rPr>
                <w:rFonts w:ascii="仿宋_GB2312" w:hAnsi="仿宋_GB2312" w:cs="仿宋_GB2312" w:eastAsia="仿宋_GB2312"/>
                <w:sz w:val="24"/>
              </w:rPr>
              <w:t>现</w:t>
            </w:r>
            <w:r>
              <w:rPr>
                <w:rFonts w:ascii="仿宋_GB2312" w:hAnsi="仿宋_GB2312" w:cs="仿宋_GB2312" w:eastAsia="仿宋_GB2312"/>
                <w:sz w:val="24"/>
              </w:rPr>
              <w:t>有的应用系统向新系统的移植工作方面提供全面的技术支持，并须保证系统的稳定和平滑过渡，同时应提供安装的系统配置文件和文件档案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（八）考核标准</w:t>
            </w:r>
          </w:p>
          <w:p>
            <w:pPr>
              <w:pStyle w:val="null3"/>
              <w:ind w:firstLine="480"/>
              <w:jc w:val="both"/>
            </w:pPr>
            <w:r>
              <w:rPr>
                <w:rFonts w:ascii="仿宋_GB2312" w:hAnsi="仿宋_GB2312" w:cs="仿宋_GB2312" w:eastAsia="仿宋_GB2312"/>
                <w:sz w:val="24"/>
              </w:rPr>
              <w:t>采购人对服务商进行季度考核和年度考核，对未达到服务标准的维护商将酌情扣除维护费（考核标准见附件一）。</w:t>
            </w:r>
          </w:p>
          <w:p>
            <w:pPr>
              <w:pStyle w:val="null3"/>
              <w:jc w:val="both"/>
            </w:pPr>
            <w:r>
              <w:rPr>
                <w:rFonts w:ascii="仿宋_GB2312" w:hAnsi="仿宋_GB2312" w:cs="仿宋_GB2312" w:eastAsia="仿宋_GB2312"/>
                <w:sz w:val="24"/>
              </w:rPr>
              <w:t>（九）有原厂服务内容的，在签订合同后，提供原厂服务证明。</w:t>
            </w:r>
          </w:p>
          <w:p>
            <w:pPr>
              <w:pStyle w:val="null3"/>
              <w:ind w:firstLine="480"/>
              <w:jc w:val="left"/>
            </w:pPr>
            <w:r>
              <w:rPr>
                <w:rFonts w:ascii="仿宋_GB2312" w:hAnsi="仿宋_GB2312" w:cs="仿宋_GB2312" w:eastAsia="仿宋_GB2312"/>
                <w:sz w:val="24"/>
              </w:rPr>
              <w:t>四、其他</w:t>
            </w:r>
          </w:p>
          <w:p>
            <w:pPr>
              <w:pStyle w:val="null3"/>
              <w:ind w:firstLine="480"/>
              <w:jc w:val="both"/>
            </w:pPr>
            <w:r>
              <w:rPr>
                <w:rFonts w:ascii="仿宋_GB2312" w:hAnsi="仿宋_GB2312" w:cs="仿宋_GB2312" w:eastAsia="仿宋_GB2312"/>
                <w:sz w:val="24"/>
              </w:rPr>
              <w:t>对服务商的业绩要求</w:t>
            </w:r>
          </w:p>
          <w:p>
            <w:pPr>
              <w:pStyle w:val="null3"/>
              <w:ind w:firstLine="480"/>
              <w:jc w:val="both"/>
            </w:pPr>
            <w:r>
              <w:rPr>
                <w:rFonts w:ascii="仿宋_GB2312" w:hAnsi="仿宋_GB2312" w:cs="仿宋_GB2312" w:eastAsia="仿宋_GB2312"/>
                <w:sz w:val="24"/>
              </w:rPr>
              <w:t>在三年内有和本项目内容类似的案例不少于三个，有用户评价。</w:t>
            </w:r>
          </w:p>
          <w:p>
            <w:pPr>
              <w:pStyle w:val="null3"/>
              <w:jc w:val="left"/>
            </w:pPr>
            <w:r>
              <w:rPr>
                <w:rFonts w:ascii="仿宋_GB2312" w:hAnsi="仿宋_GB2312" w:cs="仿宋_GB2312" w:eastAsia="仿宋_GB2312"/>
                <w:sz w:val="24"/>
              </w:rPr>
              <w:t>附件一</w:t>
            </w:r>
          </w:p>
          <w:p>
            <w:pPr>
              <w:pStyle w:val="null3"/>
              <w:jc w:val="center"/>
            </w:pPr>
            <w:r>
              <w:rPr>
                <w:rFonts w:ascii="仿宋_GB2312" w:hAnsi="仿宋_GB2312" w:cs="仿宋_GB2312" w:eastAsia="仿宋_GB2312"/>
                <w:sz w:val="24"/>
              </w:rPr>
              <w:t>网络</w:t>
            </w:r>
            <w:r>
              <w:rPr>
                <w:rFonts w:ascii="仿宋_GB2312" w:hAnsi="仿宋_GB2312" w:cs="仿宋_GB2312" w:eastAsia="仿宋_GB2312"/>
                <w:sz w:val="24"/>
              </w:rPr>
              <w:t>安全</w:t>
            </w:r>
            <w:r>
              <w:rPr>
                <w:rFonts w:ascii="仿宋_GB2312" w:hAnsi="仿宋_GB2312" w:cs="仿宋_GB2312" w:eastAsia="仿宋_GB2312"/>
                <w:sz w:val="24"/>
              </w:rPr>
              <w:t>维保服务考核标准</w:t>
            </w:r>
          </w:p>
          <w:p>
            <w:pPr>
              <w:pStyle w:val="null3"/>
              <w:numPr>
                <w:ilvl w:val="0"/>
                <w:numId w:val="1"/>
              </w:numPr>
              <w:jc w:val="both"/>
            </w:pPr>
            <w:r>
              <w:rPr>
                <w:rFonts w:ascii="仿宋_GB2312" w:hAnsi="仿宋_GB2312" w:cs="仿宋_GB2312" w:eastAsia="仿宋_GB2312"/>
                <w:sz w:val="24"/>
              </w:rPr>
              <w:t>驻场人员严格遵守中心工作秩序，每违反三次或严重违反一次扣除维护费总额的</w:t>
            </w:r>
            <w:r>
              <w:rPr>
                <w:rFonts w:ascii="仿宋_GB2312" w:hAnsi="仿宋_GB2312" w:cs="仿宋_GB2312" w:eastAsia="仿宋_GB2312"/>
                <w:sz w:val="24"/>
              </w:rPr>
              <w:t>1‰。</w:t>
            </w:r>
          </w:p>
          <w:p>
            <w:pPr>
              <w:pStyle w:val="null3"/>
              <w:numPr>
                <w:ilvl w:val="0"/>
                <w:numId w:val="1"/>
              </w:numPr>
              <w:jc w:val="both"/>
            </w:pPr>
            <w:r>
              <w:rPr>
                <w:rFonts w:ascii="仿宋_GB2312" w:hAnsi="仿宋_GB2312" w:cs="仿宋_GB2312" w:eastAsia="仿宋_GB2312"/>
                <w:sz w:val="24"/>
              </w:rPr>
              <w:t>每周、月、季及年定期提交巡检报告，周、月巡检报告每缺一次扣除维护费总额的</w:t>
            </w:r>
            <w:r>
              <w:rPr>
                <w:rFonts w:ascii="仿宋_GB2312" w:hAnsi="仿宋_GB2312" w:cs="仿宋_GB2312" w:eastAsia="仿宋_GB2312"/>
                <w:sz w:val="24"/>
              </w:rPr>
              <w:t>1‰，季、年巡检报告每缺一次扣除维护费总额的5‰。</w:t>
            </w:r>
          </w:p>
          <w:p>
            <w:pPr>
              <w:pStyle w:val="null3"/>
              <w:numPr>
                <w:ilvl w:val="0"/>
                <w:numId w:val="1"/>
              </w:numPr>
              <w:jc w:val="both"/>
            </w:pPr>
            <w:r>
              <w:rPr>
                <w:rFonts w:ascii="仿宋_GB2312" w:hAnsi="仿宋_GB2312" w:cs="仿宋_GB2312" w:eastAsia="仿宋_GB2312"/>
                <w:sz w:val="24"/>
              </w:rPr>
              <w:t>发生</w:t>
            </w:r>
            <w:r>
              <w:rPr>
                <w:rFonts w:ascii="仿宋_GB2312" w:hAnsi="仿宋_GB2312" w:cs="仿宋_GB2312" w:eastAsia="仿宋_GB2312"/>
                <w:sz w:val="24"/>
              </w:rPr>
              <w:t>安全事故</w:t>
            </w:r>
            <w:r>
              <w:rPr>
                <w:rFonts w:ascii="仿宋_GB2312" w:hAnsi="仿宋_GB2312" w:cs="仿宋_GB2312" w:eastAsia="仿宋_GB2312"/>
                <w:sz w:val="24"/>
              </w:rPr>
              <w:t>时，驻场人员未能及时发现，每次扣除维护费总额的</w:t>
            </w:r>
            <w:r>
              <w:rPr>
                <w:rFonts w:ascii="仿宋_GB2312" w:hAnsi="仿宋_GB2312" w:cs="仿宋_GB2312" w:eastAsia="仿宋_GB2312"/>
                <w:sz w:val="24"/>
              </w:rPr>
              <w:t>1‰，合计超过十次，不得竞标下年度维保。</w:t>
            </w:r>
          </w:p>
          <w:p>
            <w:pPr>
              <w:pStyle w:val="null3"/>
              <w:numPr>
                <w:ilvl w:val="0"/>
                <w:numId w:val="1"/>
              </w:numPr>
              <w:jc w:val="both"/>
            </w:pPr>
            <w:r>
              <w:rPr>
                <w:rFonts w:ascii="仿宋_GB2312" w:hAnsi="仿宋_GB2312" w:cs="仿宋_GB2312" w:eastAsia="仿宋_GB2312"/>
                <w:sz w:val="24"/>
              </w:rPr>
              <w:t>未经中心管理人员同意，私自修改设备参数及配置，每次扣除维护费总额的</w:t>
            </w:r>
            <w:r>
              <w:rPr>
                <w:rFonts w:ascii="仿宋_GB2312" w:hAnsi="仿宋_GB2312" w:cs="仿宋_GB2312" w:eastAsia="仿宋_GB2312"/>
                <w:sz w:val="24"/>
              </w:rPr>
              <w:t>1‰，合计超过三次，不得竞标下年度维保。</w:t>
            </w:r>
          </w:p>
          <w:p>
            <w:pPr>
              <w:pStyle w:val="null3"/>
              <w:numPr>
                <w:ilvl w:val="0"/>
                <w:numId w:val="1"/>
              </w:numPr>
              <w:jc w:val="both"/>
            </w:pPr>
            <w:r>
              <w:rPr>
                <w:rFonts w:ascii="仿宋_GB2312" w:hAnsi="仿宋_GB2312" w:cs="仿宋_GB2312" w:eastAsia="仿宋_GB2312"/>
                <w:sz w:val="24"/>
              </w:rPr>
              <w:t>发生</w:t>
            </w:r>
            <w:r>
              <w:rPr>
                <w:rFonts w:ascii="仿宋_GB2312" w:hAnsi="仿宋_GB2312" w:cs="仿宋_GB2312" w:eastAsia="仿宋_GB2312"/>
                <w:sz w:val="24"/>
              </w:rPr>
              <w:t>安全事故</w:t>
            </w:r>
            <w:r>
              <w:rPr>
                <w:rFonts w:ascii="仿宋_GB2312" w:hAnsi="仿宋_GB2312" w:cs="仿宋_GB2312" w:eastAsia="仿宋_GB2312"/>
                <w:sz w:val="24"/>
              </w:rPr>
              <w:t>时，</w:t>
            </w:r>
            <w:r>
              <w:rPr>
                <w:rFonts w:ascii="仿宋_GB2312" w:hAnsi="仿宋_GB2312" w:cs="仿宋_GB2312" w:eastAsia="仿宋_GB2312"/>
                <w:sz w:val="24"/>
              </w:rPr>
              <w:t>4小时未能解决问题且未能提出维修方案，每超过1小时扣除维护费总额的1‰，累计最高不超过20‰。</w:t>
            </w:r>
          </w:p>
          <w:p>
            <w:pPr>
              <w:pStyle w:val="null3"/>
              <w:numPr>
                <w:ilvl w:val="0"/>
                <w:numId w:val="1"/>
              </w:numPr>
              <w:jc w:val="both"/>
            </w:pPr>
            <w:r>
              <w:rPr>
                <w:rFonts w:ascii="仿宋_GB2312" w:hAnsi="仿宋_GB2312" w:cs="仿宋_GB2312" w:eastAsia="仿宋_GB2312"/>
                <w:sz w:val="24"/>
              </w:rPr>
              <w:t>安全事故解决</w:t>
            </w:r>
            <w:r>
              <w:rPr>
                <w:rFonts w:ascii="仿宋_GB2312" w:hAnsi="仿宋_GB2312" w:cs="仿宋_GB2312" w:eastAsia="仿宋_GB2312"/>
                <w:sz w:val="24"/>
              </w:rPr>
              <w:t>的期限不超过</w:t>
            </w:r>
            <w:r>
              <w:rPr>
                <w:rFonts w:ascii="仿宋_GB2312" w:hAnsi="仿宋_GB2312" w:cs="仿宋_GB2312" w:eastAsia="仿宋_GB2312"/>
                <w:sz w:val="24"/>
              </w:rPr>
              <w:t>2个工作日，如果超过2个工作日，扣除维护费总额的10%，并不得竞标下年度维保。</w:t>
            </w:r>
          </w:p>
          <w:p>
            <w:pPr>
              <w:pStyle w:val="null3"/>
              <w:jc w:val="both"/>
            </w:pPr>
            <w:r>
              <w:rPr>
                <w:rFonts w:ascii="仿宋_GB2312" w:hAnsi="仿宋_GB2312" w:cs="仿宋_GB2312" w:eastAsia="仿宋_GB2312"/>
                <w:sz w:val="24"/>
              </w:rPr>
              <w:t>未按合同要求安排驻场人员，扣除维护费总额的</w:t>
            </w:r>
            <w:r>
              <w:rPr>
                <w:rFonts w:ascii="仿宋_GB2312" w:hAnsi="仿宋_GB2312" w:cs="仿宋_GB2312" w:eastAsia="仿宋_GB2312"/>
                <w:sz w:val="24"/>
              </w:rPr>
              <w:t>50%</w:t>
            </w:r>
            <w:r>
              <w:rPr>
                <w:rFonts w:ascii="仿宋_GB2312" w:hAnsi="仿宋_GB2312" w:cs="仿宋_GB2312" w:eastAsia="仿宋_GB2312"/>
                <w:sz w:val="3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因采购人系行政单位，所有的付款均需财政部门审批，本合同履行期间，非因采购人故意拖延付款申请流程造成的逾期付款的，承包方对此予以谅解不得追究采购人的逾期付款责任。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服务期自2025年10月1日至2026年9月30日。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西安住房公积金管理中心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1.服务期满后，甲方根据磋商文件和响应文件及相关文件，进行验收，确认服务标准和服务方式是否达到采购要求。 2.甲方组织乙方(必要时请有关专家)进行验收，验收合格后，填写政府采购项目验收单 (一式伍份)作为对项目的最终认可。 3.乙方向甲方提供维保服务过程中的所有资料,以便甲方人日后管理和维护。 4.验收依据 4.1磋商文件、响应文件、澄清表 (函) ；4.2本合同及附件文本；4.3国家相应的标准、规范。附件一： 网络安全维保服务考核标准驻场人员严格遵守中心工作秩序，每违反三次或严重违反一次扣除维护费总额的1‰。 每周、月、季及年定期提交巡检报告，周、月巡检报告每缺一次扣除维护费总额的1‰，季、年巡检报告每缺一次扣除维护费总额的5‰。 发生安全事故时，驻场人员未能及时发现，每次扣除维护费总额的1‰，合计超过十次，不得竞标下年度维保。 未经中心管理人员同意，私自修改设备参数及配置，每次扣除维护费总额的1‰，合计超过三次，不得竞标下年度维保。 发生安全事故时，4小时未能解决问题且未能提出维修方案，每超过1小时扣除维护费总额的1‰，累计最高不超过20‰。 安全事故解决的期限不超过2个工作日，如果超过2个工作日，扣除维护费总额的10%，并不得竞标下年度维保。 未按合同要求安排驻场人员，扣除维护费总额的50%。</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合同签订后在一个月内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2026年6月底前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 按《民法典》中的相关条款执行。 (二) 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 及相关法律法规对乙方的违法行为进行相应的处罚。 (三) 在本合同履行过程中，双方因违约或造成对方经济、社会效益等损失的应当赔偿。 (四) 对本合同任何一条款的违反均视为违约(因不可抗力导致的除外) ，违约方应采取有效措施在至多不超过【5】个工作日内纠正违约行为(自违约情形发生之日起算)，并赔偿守约方因其违约行为而遭受的损失。违约方在违约行为发生后【一个月内】拒不纠正违约行为，守约方有权单方解除合同，合同的解除不影响违约方应承担的违约责任。 （五) 乙方在甲方提出系统故障时，未在本合同约定的响应时间内给予响应或未在约定的时间内派专业人员抵达甲方指定的用户现场提供技术服务的，每迟延一小时，应向甲方支付违约金【壹仟】元人民币。该款项甲方有权从应付乙方的服务费中直接扣除，不足部分，由乙方补足。 (六)乙方未在本合同约定的服务时间内完成故障修复工作的，每迟延【 1 】小时，应向甲方支付违约金【壹仟】元人民币，该款项甲方有权从应付乙方的服务费中直接扣除。超过【12】小时的，甲方有权解除本合同，合同自甲方解除通知送时解除。甲方解除合同的，乙方除向甲方承担相应的违约责任外，已收取甲方的款项应全部退还甲方。 (七) 如因乙方提供维保技术服务导致甲方设备、系统损坏的，乙方除赔偿甲方全部经济损失(包括直接损失和间接损失)外，还应向甲方支付【伍万】元人民币的违约金，并退还甲方已支付的全部款项。 (八)乙方把甲方数据、软件、用户名、密码、系统结构、网络配置泄露给任何第三方的，应向甲方支付【伍万】元的违约金，给甲方造成损失的，还应赔偿给甲方造成的损失。 (九)如果甲方因在乙方授权范围内使用乙方提供的软件、文件、资料等，而遭到的第三方就侵犯专利、商标、工业设计或其他知识产权而提出的索赔和诉讼，由乙方承担全部法律后果，如因该等情形导致甲方损失的，乙方应给予甲方全额赔偿。 (十)若乙方未完全履行本合同所约定的义务，并在接到甲方书面通知30日内仍未予以纠正时，甲方有权单方解除本合同，本合同自甲方解除通知送达之日解除。乙方在接到甲方解除通知后 30 日内须以【转账或支票】的方式退还甲方已支付的全部技术服务费用，甲方未支付的技术服务费不再支付。 (十一)一方违反本合同规定，给另一方造成经济损失的，除承担上述违约责任外，违约方还应承担赔偿责任。 3.3.6.2解决争议的方法 3.3.6.2.1本合同在履行过程中发生的争议，由甲、乙双方当事人协商解决，协商不成的按下列第1种方式解决：1、提交西安仲裁委员会仲裁；2、依法向甲方所在地人民法院起诉。 3.3.6.2.2本条款为独立条款，本合同的无效、变更、解除和终止均不影响本条款的效力。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报价是供应商为完成本次服务所要求的服务过程中产生的所有费用。供应商所报的价格应考虑到可能发生的所有与完成本项目相关服务及履行合同义务有关的一切费用；在提供服务的过程中的任何遗漏，均由成交供应商免费提供，采购人将不再支付任何费用。 3.4.2成交供应商的磋商有效期自动延长至合同终止为止。 3.4.3合格供应商少于3家的处理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3.4.4本项目需要落实的政府采购政策：（1）《国务院办公厅关于建立政府强制采购节能产品制度的通知》（国办发〔2007〕51号）；（2）《财政部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印发节能产品政府采购品目清单的通知》（财库〔2019〕19号）；（6）《关于印发环境标志产品政府采购品目清单的通知》（财库〔2019〕18号）；（7）《关于运用政府采购政策支持乡村产业振兴的通知》（财库〔2021〕19号）；（8）《政府采购促进中小企业发展管理办法》（财库〔2020〕46号）；（9）《关于进一步加大政府采购支持中小企业力度的通知》（财库〔2022〕19号；（10）《陕西省中小企业政府采购信用融资办法》（陕财办采〔2018〕23号）；（11）《陕西省财政厅关于加快推进我省中小企业政府采购信用融资工作的通知》（陕财办采〔2020〕15号）；（12）《关于进一步加强政府绿色采购有关问题的通知》陕财办采〔2021〕29号；（13）《陕西省财政厅、中国人民银行西安分行关于深入推进政府采购信用融资业务的通知》（陕财办采〔2023〕5号）；（14）其他需要落实的政府采购政策。 3.4.5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壹套、副本壹套、电子版（U 盘）贰个，纸质响应文件应通过专用制作软件直接打印，确保与项目电子化交易系统中的电子响应文件保持一致，不允许修改和补充。 3.4.6中标（成交）通知书领取地址：陕西省西安市雁塔区小寨街道momopark写字楼7号楼一单元1502。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附表.docx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的法人或其他组织或自然人，投标（响应）时提交有效的营业执照（或事业法人登记证或身份证等相关证明）副本复印件。分支机构参与的，须提供总公司和分公司营业执照副本复印件及总公司出具给分支机构的授权书。</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附表.docx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提供2024年9月至今至少一个月已缴纳的增值税或营业税或企业所得税或印花税的凭据或完税证明；依法免税的投标人应提供相关证明文件；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供应商应提交的相关资格证明材料 附表.docx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供应商应提交的相关资格证明材料 附表.docx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法定代表人授权书/身份证明书</w:t>
            </w:r>
          </w:p>
        </w:tc>
        <w:tc>
          <w:tcPr>
            <w:tcW w:type="dxa" w:w="3322"/>
          </w:tcPr>
          <w:p>
            <w:pPr>
              <w:pStyle w:val="null3"/>
            </w:pPr>
            <w:r>
              <w:rPr>
                <w:rFonts w:ascii="仿宋_GB2312" w:hAnsi="仿宋_GB2312" w:cs="仿宋_GB2312" w:eastAsia="仿宋_GB2312"/>
              </w:rPr>
              <w:t>法定代表人直接参与磋商的，须出具法定代表人身份证明书及身份证扫描件；法定代表人授权代表参与磋商的，须出具法定代表人授权书及授权代表身份证扫描件。</w:t>
            </w:r>
          </w:p>
        </w:tc>
        <w:tc>
          <w:tcPr>
            <w:tcW w:type="dxa" w:w="1661"/>
          </w:tcPr>
          <w:p>
            <w:pPr>
              <w:pStyle w:val="null3"/>
            </w:pPr>
            <w:r>
              <w:rPr>
                <w:rFonts w:ascii="仿宋_GB2312" w:hAnsi="仿宋_GB2312" w:cs="仿宋_GB2312" w:eastAsia="仿宋_GB2312"/>
              </w:rPr>
              <w:t>供应商应提交的相关资格证明材料 附表.docx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人于投标（响应）截止时间当天在评审系统查询的结果为准，如相关失信记录已失效，供应商需提供相关证明资料） 单位负责人为同一人或者存在直接控股、管理关系的不同供应商，不得同时参加本采购项目。为本项目提供整体设计、规范编制或者项目管理、监理、检测等服务的供应商，不得再参与本项目。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单位负责人为同一人或者存在直接控股、管理关系的不同供应商，不得同时参加本采购项目。为本项目提供整体设计、规范编制或者项目管理、监理、检测等服务的供应商，不得再参与本项目。</w:t>
            </w:r>
          </w:p>
        </w:tc>
        <w:tc>
          <w:tcPr>
            <w:tcW w:type="dxa" w:w="1661"/>
          </w:tcPr>
          <w:p>
            <w:pPr>
              <w:pStyle w:val="null3"/>
            </w:pPr>
            <w:r>
              <w:rPr>
                <w:rFonts w:ascii="仿宋_GB2312" w:hAnsi="仿宋_GB2312" w:cs="仿宋_GB2312" w:eastAsia="仿宋_GB2312"/>
              </w:rPr>
              <w:t>供应商应提交的相关资格证明材料 附表.docx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非联合体响应</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供应商应提交的相关资格证明材料 附表.docx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需求分析1</w:t>
            </w:r>
          </w:p>
        </w:tc>
        <w:tc>
          <w:tcPr>
            <w:tcW w:type="dxa" w:w="2492"/>
          </w:tcPr>
          <w:p>
            <w:pPr>
              <w:pStyle w:val="null3"/>
            </w:pPr>
            <w:r>
              <w:rPr>
                <w:rFonts w:ascii="仿宋_GB2312" w:hAnsi="仿宋_GB2312" w:cs="仿宋_GB2312" w:eastAsia="仿宋_GB2312"/>
              </w:rPr>
              <w:t>对本次服务需求网络安全现状的认识程度、理解切合实际，分析透彻打分。 思路清晰、分析到位得6分； 思路较清晰、分析较到位得4分； 思路欠缺，不清晰或分析不到位得2分； 未提供或认知完全脱离的不得分。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需求分析2</w:t>
            </w:r>
          </w:p>
        </w:tc>
        <w:tc>
          <w:tcPr>
            <w:tcW w:type="dxa" w:w="2492"/>
          </w:tcPr>
          <w:p>
            <w:pPr>
              <w:pStyle w:val="null3"/>
            </w:pPr>
            <w:r>
              <w:rPr>
                <w:rFonts w:ascii="仿宋_GB2312" w:hAnsi="仿宋_GB2312" w:cs="仿宋_GB2312" w:eastAsia="仿宋_GB2312"/>
              </w:rPr>
              <w:t>对本项目涉及业务的流程、管理要求的熟悉程度打分。 对流程及要求很熟悉，能够详细，具体的描述相关流程及要求，并能准确把握要点及重点。得6分； 基本了解业务流程及要求，提出的要点及重点不够准确得4分； 对业务流程及要求不够了解，提出的要点及重点有偏差。得2分； 未提供或认知完全脱离的不得分。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供应商根据技术参数与性能指标中的服务内容，提供详细的服务方案。 方案全面具体、针对性强、思路明确、可操作及可行性强、能完全满足采购所需的得15分。 方案较为全面、针对性较好、思路清晰、可操作及可行性良好、能满足采购基本所需的得11分。 方案不全面、针对性一般、思路不清晰、缺少关键点、可操作及可行性一般、不能满足采购基本所需的得7分。 方案简单、无针对性、无思路、可操作及可行性较差、不能满足采购所需的得3分。未提供或方案完全脱离采购实际的不得分。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项目人员配备1</w:t>
            </w:r>
          </w:p>
        </w:tc>
        <w:tc>
          <w:tcPr>
            <w:tcW w:type="dxa" w:w="2492"/>
          </w:tcPr>
          <w:p>
            <w:pPr>
              <w:pStyle w:val="null3"/>
            </w:pPr>
            <w:r>
              <w:rPr>
                <w:rFonts w:ascii="仿宋_GB2312" w:hAnsi="仿宋_GB2312" w:cs="仿宋_GB2312" w:eastAsia="仿宋_GB2312"/>
              </w:rPr>
              <w:t>结合本项目采购需求配备项目人员，人员配备全面、分工安排合理、职责划分明确，人员专业，从业经验丰富，满足本项目实施。 人员组织安排职责明确、人员配备全面、分工清晰、工作经历丰富、能够完全满足采购所需的得7分； 职责较为明确、分工较为清晰、缺少部分工作经历、但能满足基本采购所需的得5分； 职责、分工一般、缺少部分工作经历、勉强能满足基本采购所需的得3分； 未提供或配备完全脱离项目实际的不得分。提供人员相关证明文件。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项目人员配备2</w:t>
            </w:r>
          </w:p>
        </w:tc>
        <w:tc>
          <w:tcPr>
            <w:tcW w:type="dxa" w:w="2492"/>
          </w:tcPr>
          <w:p>
            <w:pPr>
              <w:pStyle w:val="null3"/>
            </w:pPr>
            <w:r>
              <w:rPr>
                <w:rFonts w:ascii="仿宋_GB2312" w:hAnsi="仿宋_GB2312" w:cs="仿宋_GB2312" w:eastAsia="仿宋_GB2312"/>
              </w:rPr>
              <w:t>1、工程师4名满足得8分，其中明确项目负责人1名，且持有PMP、注册信息安全专业人员认证（CISP）；其余三名均需具备注册信息安全专业人员认证（CISP）。2、驻场服务1人满足得2分，不满足不得分。在此基础上，驻场服务每增加1名，得2分，最多得2分。 3、需提供所有项目小组工程师证书验真网址。未提供或提供不全不得分。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针对本项目服务有服务质量保障措施或相关承诺，包括但不限于服务保障体系、项目服务时间、服务质量、服务人员到位情况、安全运维管理服务体系等有实质性方案措施或相关承诺； 服务质量保障措施或相关承诺完整详细、科学合理，能保质保量按时完成、人员及时到位，响应及时有保障的得5分； 服务质量保障措施或相关承诺较为完整详细、较为科学合理，完成时间和完成质量较为勉强、人员到位较为及时，较为勉强的得3分； 服务质量保障措施或相关承诺存在缺陷，完成时间和完成质量无法保证，人员无法及时到位，服务无保障的得1分； 未提供或完全脱离项目实际的不得分。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重点难点及合理化建议</w:t>
            </w:r>
          </w:p>
        </w:tc>
        <w:tc>
          <w:tcPr>
            <w:tcW w:type="dxa" w:w="2492"/>
          </w:tcPr>
          <w:p>
            <w:pPr>
              <w:pStyle w:val="null3"/>
            </w:pPr>
            <w:r>
              <w:rPr>
                <w:rFonts w:ascii="仿宋_GB2312" w:hAnsi="仿宋_GB2312" w:cs="仿宋_GB2312" w:eastAsia="仿宋_GB2312"/>
              </w:rPr>
              <w:t>根据对本项目重难点及合理化建议的准确性，分析问题的全面性、合理性及解决措施是否科学合理，满足采购需求。 针对供应商对项目重难点认识到位全面、难点分析透彻、解决措施科学合理、合理化建议完全满足采购需求的得5分； 认识较全面、难点分析较透彻、解决措施较合理，合理化建议基本可行的得3分； 认识、难点分析、解决措施科学欠缺，合理化建议可行性低或需要优化后才能基本满足项目需要的得1分； 未提供或完全脱离项目实际的不得分。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运维管理的规范性和效率措施</w:t>
            </w:r>
          </w:p>
        </w:tc>
        <w:tc>
          <w:tcPr>
            <w:tcW w:type="dxa" w:w="2492"/>
          </w:tcPr>
          <w:p>
            <w:pPr>
              <w:pStyle w:val="null3"/>
            </w:pPr>
            <w:r>
              <w:rPr>
                <w:rFonts w:ascii="仿宋_GB2312" w:hAnsi="仿宋_GB2312" w:cs="仿宋_GB2312" w:eastAsia="仿宋_GB2312"/>
              </w:rPr>
              <w:t>服务过程中的运维管理的规范性和效率措施。 措施依托运维管理体系完备健全，科学性强、合理性强、可行性强、符合《数据安全法》、《网络安全法》规定要求的得5分； 措施较为完备健全，方案具有一定科学性、合理性较好、基本可行性、基本符合《数据安全法》、《网络安全法》规定的得3分； 措施完备程度一般，方案合理性一般、可行性低或需要优化后才能基本满足项目需要的得1分。 未提供或完全脱离项目实际的不得分。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保证系统的稳定和平滑过渡措施</w:t>
            </w:r>
          </w:p>
        </w:tc>
        <w:tc>
          <w:tcPr>
            <w:tcW w:type="dxa" w:w="2492"/>
          </w:tcPr>
          <w:p>
            <w:pPr>
              <w:pStyle w:val="null3"/>
            </w:pPr>
            <w:r>
              <w:rPr>
                <w:rFonts w:ascii="仿宋_GB2312" w:hAnsi="仿宋_GB2312" w:cs="仿宋_GB2312" w:eastAsia="仿宋_GB2312"/>
              </w:rPr>
              <w:t>针对本项目有完善的保证系统的稳定和平滑过渡措施。 措施完备健全，科学性强、合理性强、可行性强、有全面的技术支持的得5分； 措施较为完备健全，方案具有一定科学性、合理性较好、基本可行性、技术支持较全面的得3分； 措施完备程度一般，方案合理性一般、可行性低或需要优化后才能基本满足项目需要的得1分。 未提供或完全脱离项目实际的不得分。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服务响应时间</w:t>
            </w:r>
          </w:p>
        </w:tc>
        <w:tc>
          <w:tcPr>
            <w:tcW w:type="dxa" w:w="2492"/>
          </w:tcPr>
          <w:p>
            <w:pPr>
              <w:pStyle w:val="null3"/>
            </w:pPr>
            <w:r>
              <w:rPr>
                <w:rFonts w:ascii="仿宋_GB2312" w:hAnsi="仿宋_GB2312" w:cs="仿宋_GB2312" w:eastAsia="仿宋_GB2312"/>
              </w:rPr>
              <w:t>小于半小时做出响应，小于三小时排除故障，大于95%的故障或安全事件在以上规定时间内得到解决，得4分； 半小时做出响应，三小时排除故障，95%的故障或安全事件在以上规定时间内得到解决，得2分； 提供具体的响应措施和承诺。其余情况或无具体响应措施和承诺不得分。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信息技术服务管理体系认证证书（GB/T22080-2016或ISO20000）、信息安全管理体系认证证书（ISO27001），信息技术服务标准符合性（ITSS）三级或三级以上、信息安全风险评估服务CCRC）证书二级及以上、信息安全应急处理服务（CCRC）证书二级及以上具有1项得1分，没有或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提供具有2022年9月1日起至今3个类似项目业绩，业绩以合同和验收单的扫描件（复印件）为准，满足得6分，不满足不得分。 在此基础上，每增加一个符合上述要求的业绩，加2分，最多加4分。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中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详见附件：附表.docx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