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5D092">
      <w:pPr>
        <w:pStyle w:val="6"/>
        <w:numPr>
          <w:ilvl w:val="0"/>
          <w:numId w:val="0"/>
        </w:numPr>
        <w:jc w:val="center"/>
        <w:outlineLvl w:val="1"/>
        <w:rPr>
          <w:b/>
          <w:color w:val="000000" w:themeColor="text1"/>
          <w:sz w:val="36"/>
          <w:highlight w:val="none"/>
          <w14:textFill>
            <w14:solidFill>
              <w14:schemeClr w14:val="tx1"/>
            </w14:solidFill>
          </w14:textFill>
        </w:rPr>
      </w:pPr>
      <w:r>
        <w:rPr>
          <w:b/>
          <w:color w:val="000000" w:themeColor="text1"/>
          <w:sz w:val="36"/>
          <w:highlight w:val="none"/>
          <w14:textFill>
            <w14:solidFill>
              <w14:schemeClr w14:val="tx1"/>
            </w14:solidFill>
          </w14:textFill>
        </w:rPr>
        <w:t>拟签订采购合同文本</w:t>
      </w:r>
    </w:p>
    <w:p w14:paraId="41DB98F9">
      <w:pPr>
        <w:spacing w:line="268" w:lineRule="auto"/>
        <w:jc w:val="center"/>
        <w:rPr>
          <w:rFonts w:ascii="Arial"/>
          <w:sz w:val="32"/>
          <w:szCs w:val="32"/>
        </w:rPr>
      </w:pPr>
    </w:p>
    <w:p w14:paraId="29E7E946">
      <w:pPr>
        <w:spacing w:line="268" w:lineRule="auto"/>
        <w:rPr>
          <w:rFonts w:ascii="Arial"/>
        </w:rPr>
      </w:pPr>
    </w:p>
    <w:p w14:paraId="15838E40">
      <w:pPr>
        <w:spacing w:line="268" w:lineRule="auto"/>
        <w:rPr>
          <w:rFonts w:ascii="Arial"/>
        </w:rPr>
      </w:pPr>
    </w:p>
    <w:p w14:paraId="358EC44E">
      <w:pPr>
        <w:spacing w:line="268" w:lineRule="auto"/>
        <w:rPr>
          <w:rFonts w:ascii="Arial"/>
        </w:rPr>
      </w:pPr>
    </w:p>
    <w:p w14:paraId="52D9C449">
      <w:pPr>
        <w:spacing w:line="268" w:lineRule="auto"/>
        <w:rPr>
          <w:rFonts w:ascii="Arial"/>
        </w:rPr>
      </w:pPr>
    </w:p>
    <w:p w14:paraId="2CF34C51">
      <w:pPr>
        <w:spacing w:before="169" w:line="254" w:lineRule="auto"/>
        <w:ind w:left="11" w:right="135" w:hanging="11"/>
        <w:jc w:val="center"/>
        <w:rPr>
          <w:rFonts w:hint="eastAsia" w:ascii="宋体" w:hAnsi="宋体" w:eastAsia="宋体" w:cs="宋体"/>
          <w:sz w:val="44"/>
          <w:szCs w:val="44"/>
          <w:lang w:eastAsia="zh-CN"/>
        </w:rPr>
      </w:pPr>
      <w:r>
        <w:rPr>
          <w:rFonts w:hint="eastAsia" w:ascii="宋体" w:hAnsi="宋体" w:cs="宋体"/>
          <w:sz w:val="44"/>
          <w:szCs w:val="44"/>
        </w:rPr>
        <w:t>西安住房公积金管理中心</w:t>
      </w:r>
      <w:r>
        <w:rPr>
          <w:rFonts w:hint="eastAsia" w:hAnsi="宋体" w:cs="宋体"/>
          <w:sz w:val="44"/>
          <w:szCs w:val="44"/>
          <w:lang w:eastAsia="zh-CN"/>
        </w:rPr>
        <w:t>2025年度网络安全维保项目</w:t>
      </w:r>
    </w:p>
    <w:p w14:paraId="4C5337F6">
      <w:pPr>
        <w:pStyle w:val="7"/>
        <w:rPr>
          <w:rFonts w:hint="eastAsia" w:ascii="宋体" w:hAnsi="宋体" w:cs="宋体"/>
          <w:sz w:val="44"/>
          <w:szCs w:val="44"/>
        </w:rPr>
      </w:pPr>
    </w:p>
    <w:p w14:paraId="3E479302">
      <w:pPr>
        <w:pStyle w:val="7"/>
        <w:rPr>
          <w:rFonts w:hint="eastAsia" w:ascii="宋体" w:hAnsi="宋体" w:cs="宋体"/>
          <w:sz w:val="44"/>
          <w:szCs w:val="44"/>
        </w:rPr>
      </w:pPr>
    </w:p>
    <w:p w14:paraId="375B85CA">
      <w:pPr>
        <w:spacing w:line="268" w:lineRule="auto"/>
        <w:rPr>
          <w:rFonts w:ascii="Arial"/>
        </w:rPr>
      </w:pPr>
    </w:p>
    <w:p w14:paraId="0E9F04DD">
      <w:pPr>
        <w:spacing w:before="231" w:line="222" w:lineRule="auto"/>
        <w:jc w:val="center"/>
        <w:rPr>
          <w:rFonts w:ascii="宋体" w:hAnsi="宋体" w:cs="宋体"/>
          <w:sz w:val="71"/>
          <w:szCs w:val="71"/>
        </w:rPr>
      </w:pPr>
      <w:r>
        <w:rPr>
          <w:rFonts w:ascii="宋体" w:hAnsi="宋体" w:cs="宋体"/>
          <w:sz w:val="71"/>
          <w:szCs w:val="71"/>
        </w:rPr>
        <w:t>服 务 合 同</w:t>
      </w:r>
    </w:p>
    <w:p w14:paraId="06EB03E7">
      <w:pPr>
        <w:spacing w:line="257" w:lineRule="auto"/>
        <w:rPr>
          <w:rFonts w:ascii="Arial"/>
        </w:rPr>
      </w:pPr>
    </w:p>
    <w:p w14:paraId="6CE819C8">
      <w:pPr>
        <w:spacing w:line="257" w:lineRule="auto"/>
        <w:rPr>
          <w:rFonts w:ascii="Arial"/>
        </w:rPr>
      </w:pPr>
    </w:p>
    <w:p w14:paraId="0630F4BC">
      <w:pPr>
        <w:spacing w:line="257" w:lineRule="auto"/>
        <w:rPr>
          <w:rFonts w:ascii="Arial"/>
        </w:rPr>
      </w:pPr>
    </w:p>
    <w:p w14:paraId="386B83F5">
      <w:pPr>
        <w:spacing w:line="257" w:lineRule="auto"/>
        <w:rPr>
          <w:rFonts w:ascii="Arial"/>
        </w:rPr>
      </w:pPr>
    </w:p>
    <w:p w14:paraId="4C279770">
      <w:pPr>
        <w:spacing w:line="257" w:lineRule="auto"/>
        <w:rPr>
          <w:rFonts w:ascii="Arial"/>
        </w:rPr>
      </w:pPr>
    </w:p>
    <w:p w14:paraId="70AD0726">
      <w:pPr>
        <w:spacing w:line="258" w:lineRule="auto"/>
        <w:rPr>
          <w:rFonts w:ascii="Arial"/>
        </w:rPr>
      </w:pPr>
    </w:p>
    <w:p w14:paraId="3C5F35C8">
      <w:pPr>
        <w:spacing w:line="258" w:lineRule="auto"/>
        <w:rPr>
          <w:rFonts w:ascii="Arial"/>
        </w:rPr>
      </w:pPr>
    </w:p>
    <w:p w14:paraId="3E7BD456">
      <w:pPr>
        <w:spacing w:line="258" w:lineRule="auto"/>
        <w:rPr>
          <w:rFonts w:ascii="Arial"/>
        </w:rPr>
      </w:pPr>
    </w:p>
    <w:p w14:paraId="6915A159">
      <w:pPr>
        <w:spacing w:line="258" w:lineRule="auto"/>
        <w:rPr>
          <w:rFonts w:ascii="Arial"/>
        </w:rPr>
      </w:pPr>
    </w:p>
    <w:p w14:paraId="33F9B27E">
      <w:pPr>
        <w:spacing w:line="258" w:lineRule="auto"/>
        <w:rPr>
          <w:rFonts w:ascii="Arial"/>
        </w:rPr>
      </w:pPr>
    </w:p>
    <w:p w14:paraId="5D3A987D">
      <w:pPr>
        <w:spacing w:line="258" w:lineRule="auto"/>
        <w:rPr>
          <w:rFonts w:ascii="Arial"/>
        </w:rPr>
      </w:pPr>
    </w:p>
    <w:p w14:paraId="7EB9B255">
      <w:pPr>
        <w:spacing w:line="258" w:lineRule="auto"/>
        <w:rPr>
          <w:rFonts w:ascii="Arial"/>
        </w:rPr>
      </w:pPr>
    </w:p>
    <w:p w14:paraId="39AB899C">
      <w:pPr>
        <w:widowControl/>
        <w:kinsoku w:val="0"/>
        <w:autoSpaceDE w:val="0"/>
        <w:autoSpaceDN w:val="0"/>
        <w:adjustRightInd w:val="0"/>
        <w:snapToGrid w:val="0"/>
        <w:spacing w:line="360" w:lineRule="auto"/>
        <w:ind w:firstLine="2170" w:firstLineChars="700"/>
        <w:textAlignment w:val="baseline"/>
        <w:rPr>
          <w:rFonts w:ascii="宋体" w:hAnsi="宋体" w:cs="宋体"/>
          <w:sz w:val="31"/>
          <w:szCs w:val="31"/>
        </w:rPr>
      </w:pPr>
      <w:r>
        <w:rPr>
          <w:rFonts w:ascii="宋体" w:hAnsi="宋体" w:cs="宋体"/>
          <w:sz w:val="31"/>
          <w:szCs w:val="31"/>
        </w:rPr>
        <w:t>甲  方：西安住房公积金管理中心</w:t>
      </w:r>
    </w:p>
    <w:p w14:paraId="61E9C70C">
      <w:pPr>
        <w:widowControl/>
        <w:kinsoku w:val="0"/>
        <w:autoSpaceDE w:val="0"/>
        <w:autoSpaceDN w:val="0"/>
        <w:adjustRightInd w:val="0"/>
        <w:snapToGrid w:val="0"/>
        <w:spacing w:line="360" w:lineRule="auto"/>
        <w:ind w:firstLine="2170" w:firstLineChars="700"/>
        <w:textAlignment w:val="baseline"/>
        <w:rPr>
          <w:rFonts w:ascii="宋体" w:hAnsi="宋体" w:cs="宋体"/>
          <w:sz w:val="31"/>
          <w:szCs w:val="31"/>
        </w:rPr>
      </w:pPr>
      <w:r>
        <w:rPr>
          <w:rFonts w:ascii="宋体" w:hAnsi="宋体" w:cs="宋体"/>
          <w:sz w:val="31"/>
          <w:szCs w:val="31"/>
        </w:rPr>
        <w:t>乙  方：</w:t>
      </w:r>
    </w:p>
    <w:p w14:paraId="248159AC">
      <w:pPr>
        <w:widowControl/>
        <w:kinsoku w:val="0"/>
        <w:autoSpaceDE w:val="0"/>
        <w:autoSpaceDN w:val="0"/>
        <w:adjustRightInd w:val="0"/>
        <w:snapToGrid w:val="0"/>
        <w:spacing w:line="360" w:lineRule="auto"/>
        <w:ind w:firstLine="2170" w:firstLineChars="700"/>
        <w:textAlignment w:val="baseline"/>
        <w:rPr>
          <w:rFonts w:ascii="宋体" w:hAnsi="宋体" w:cs="宋体"/>
          <w:sz w:val="31"/>
          <w:szCs w:val="31"/>
        </w:rPr>
      </w:pPr>
      <w:r>
        <w:rPr>
          <w:rFonts w:ascii="宋体" w:hAnsi="宋体" w:cs="宋体"/>
          <w:sz w:val="31"/>
          <w:szCs w:val="31"/>
        </w:rPr>
        <w:t>鉴证方：</w:t>
      </w:r>
      <w:r>
        <w:rPr>
          <w:rFonts w:hint="eastAsia" w:ascii="宋体" w:hAnsi="宋体" w:cs="宋体"/>
          <w:sz w:val="31"/>
          <w:szCs w:val="31"/>
        </w:rPr>
        <w:t>陕西诠睿项目管理有限公司</w:t>
      </w:r>
    </w:p>
    <w:p w14:paraId="2EEFF490">
      <w:pPr>
        <w:spacing w:before="241" w:line="225" w:lineRule="auto"/>
        <w:ind w:left="3342"/>
        <w:rPr>
          <w:rFonts w:ascii="宋体" w:hAnsi="宋体" w:cs="宋体"/>
          <w:sz w:val="31"/>
          <w:szCs w:val="31"/>
        </w:rPr>
      </w:pPr>
    </w:p>
    <w:p w14:paraId="5374FDD0">
      <w:pPr>
        <w:pStyle w:val="2"/>
      </w:pPr>
    </w:p>
    <w:p w14:paraId="60787538">
      <w:pPr>
        <w:spacing w:before="241" w:line="225" w:lineRule="auto"/>
        <w:jc w:val="center"/>
        <w:rPr>
          <w:rFonts w:ascii="宋体" w:hAnsi="宋体" w:cs="宋体"/>
          <w:sz w:val="31"/>
          <w:szCs w:val="31"/>
        </w:rPr>
      </w:pPr>
      <w:r>
        <w:rPr>
          <w:rFonts w:ascii="宋体" w:hAnsi="宋体" w:cs="宋体"/>
          <w:sz w:val="31"/>
          <w:szCs w:val="31"/>
        </w:rPr>
        <w:t>202</w:t>
      </w:r>
      <w:r>
        <w:rPr>
          <w:rFonts w:hint="eastAsia" w:hAnsi="宋体" w:cs="宋体"/>
          <w:sz w:val="31"/>
          <w:szCs w:val="31"/>
          <w:lang w:val="en-US" w:eastAsia="zh-CN"/>
        </w:rPr>
        <w:t>5</w:t>
      </w:r>
      <w:bookmarkStart w:id="0" w:name="_GoBack"/>
      <w:bookmarkEnd w:id="0"/>
      <w:r>
        <w:rPr>
          <w:rFonts w:ascii="宋体" w:hAnsi="宋体" w:cs="宋体"/>
          <w:sz w:val="31"/>
          <w:szCs w:val="31"/>
        </w:rPr>
        <w:t>年  月</w:t>
      </w:r>
    </w:p>
    <w:p w14:paraId="2994B812">
      <w:pPr>
        <w:widowControl/>
        <w:kinsoku w:val="0"/>
        <w:autoSpaceDE w:val="0"/>
        <w:autoSpaceDN w:val="0"/>
        <w:adjustRightInd w:val="0"/>
        <w:snapToGrid w:val="0"/>
        <w:spacing w:line="360" w:lineRule="auto"/>
        <w:jc w:val="center"/>
        <w:textAlignment w:val="baseline"/>
        <w:rPr>
          <w:rFonts w:hint="eastAsia" w:ascii="宋体" w:hAnsi="宋体" w:cs="宋体"/>
          <w:sz w:val="24"/>
          <w:szCs w:val="24"/>
        </w:rPr>
      </w:pPr>
      <w:r>
        <w:rPr>
          <w:rFonts w:ascii="宋体" w:hAnsi="宋体" w:cs="宋体"/>
          <w:sz w:val="31"/>
          <w:szCs w:val="31"/>
        </w:rPr>
        <w:t>中国  西安</w:t>
      </w:r>
    </w:p>
    <w:p w14:paraId="43448623">
      <w:pPr>
        <w:widowControl/>
        <w:kinsoku w:val="0"/>
        <w:autoSpaceDE w:val="0"/>
        <w:autoSpaceDN w:val="0"/>
        <w:adjustRightInd w:val="0"/>
        <w:snapToGrid w:val="0"/>
        <w:spacing w:line="360" w:lineRule="auto"/>
        <w:jc w:val="center"/>
        <w:textAlignment w:val="baseline"/>
        <w:rPr>
          <w:rFonts w:hint="eastAsia" w:ascii="宋体" w:hAnsi="宋体" w:cs="宋体"/>
          <w:sz w:val="24"/>
          <w:szCs w:val="24"/>
        </w:rPr>
        <w:sectPr>
          <w:footerReference r:id="rId3" w:type="default"/>
          <w:pgSz w:w="11906" w:h="16839"/>
          <w:pgMar w:top="1440" w:right="1440" w:bottom="1440" w:left="1440" w:header="850" w:footer="964" w:gutter="0"/>
          <w:pgNumType w:fmt="decimal" w:start="1"/>
          <w:cols w:space="720" w:num="1"/>
        </w:sectPr>
      </w:pPr>
    </w:p>
    <w:p w14:paraId="66AC9628">
      <w:pPr>
        <w:widowControl/>
        <w:kinsoku w:val="0"/>
        <w:autoSpaceDE w:val="0"/>
        <w:autoSpaceDN w:val="0"/>
        <w:adjustRightInd w:val="0"/>
        <w:snapToGrid w:val="0"/>
        <w:spacing w:line="360" w:lineRule="auto"/>
        <w:textAlignment w:val="baseline"/>
        <w:rPr>
          <w:rFonts w:hint="default" w:ascii="宋体" w:hAnsi="宋体" w:eastAsia="宋体" w:cs="宋体"/>
          <w:sz w:val="24"/>
          <w:szCs w:val="24"/>
          <w:lang w:val="en-US" w:eastAsia="zh-CN"/>
        </w:rPr>
      </w:pPr>
      <w:r>
        <w:rPr>
          <w:rFonts w:hint="eastAsia" w:ascii="宋体" w:hAnsi="宋体" w:cs="宋体"/>
          <w:sz w:val="24"/>
          <w:szCs w:val="24"/>
        </w:rPr>
        <w:t>甲方：</w:t>
      </w:r>
      <w:r>
        <w:rPr>
          <w:rFonts w:hint="eastAsia" w:ascii="宋体" w:hAnsi="宋体" w:cs="宋体"/>
          <w:sz w:val="24"/>
          <w:szCs w:val="24"/>
          <w:u w:val="single"/>
        </w:rPr>
        <w:t>西安住房公积金管理中心</w:t>
      </w:r>
      <w:r>
        <w:rPr>
          <w:rFonts w:hint="eastAsia" w:hAnsi="宋体" w:cs="宋体"/>
          <w:sz w:val="24"/>
          <w:szCs w:val="24"/>
          <w:u w:val="single"/>
          <w:lang w:val="en-US" w:eastAsia="zh-CN"/>
        </w:rPr>
        <w:t xml:space="preserve">  </w:t>
      </w:r>
    </w:p>
    <w:p w14:paraId="700583BA">
      <w:pPr>
        <w:widowControl/>
        <w:kinsoku w:val="0"/>
        <w:autoSpaceDE w:val="0"/>
        <w:autoSpaceDN w:val="0"/>
        <w:adjustRightInd w:val="0"/>
        <w:snapToGrid w:val="0"/>
        <w:spacing w:line="360" w:lineRule="auto"/>
        <w:textAlignment w:val="baseline"/>
        <w:rPr>
          <w:rFonts w:hint="eastAsia" w:ascii="宋体" w:hAnsi="宋体" w:eastAsia="宋体" w:cs="宋体"/>
          <w:sz w:val="24"/>
          <w:szCs w:val="24"/>
          <w:lang w:val="en-US" w:eastAsia="zh-CN"/>
        </w:rPr>
      </w:pPr>
      <w:r>
        <w:rPr>
          <w:rFonts w:hint="eastAsia" w:ascii="宋体" w:hAnsi="宋体" w:cs="宋体"/>
          <w:sz w:val="24"/>
          <w:szCs w:val="24"/>
        </w:rPr>
        <w:t>乙方：</w:t>
      </w:r>
      <w:r>
        <w:rPr>
          <w:rFonts w:hint="eastAsia" w:ascii="宋体" w:hAnsi="宋体" w:cs="宋体"/>
          <w:sz w:val="24"/>
          <w:szCs w:val="24"/>
          <w:u w:val="single"/>
        </w:rPr>
        <w:t xml:space="preserve">                  </w:t>
      </w:r>
      <w:r>
        <w:rPr>
          <w:rFonts w:hint="eastAsia"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p>
    <w:p w14:paraId="53AE2754">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z w:val="24"/>
          <w:szCs w:val="24"/>
        </w:rPr>
        <w:t>鉴证方：</w:t>
      </w:r>
      <w:r>
        <w:rPr>
          <w:rFonts w:hint="eastAsia" w:ascii="宋体" w:hAnsi="宋体" w:cs="宋体"/>
          <w:sz w:val="24"/>
          <w:szCs w:val="24"/>
          <w:u w:val="single"/>
        </w:rPr>
        <w:t>陕西诠睿项目管理有限公司</w:t>
      </w:r>
    </w:p>
    <w:p w14:paraId="4949BC02">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鉴证方就甲方所需服务，按照政府采购程序组织竞争性磋商采购，确定乙方为西安住房公积金管理中心</w:t>
      </w:r>
      <w:r>
        <w:rPr>
          <w:rFonts w:hint="eastAsia" w:hAnsi="宋体" w:cs="宋体"/>
          <w:sz w:val="24"/>
          <w:szCs w:val="24"/>
          <w:lang w:eastAsia="zh-CN"/>
        </w:rPr>
        <w:t>2025年度网络安全维保项目</w:t>
      </w:r>
      <w:r>
        <w:rPr>
          <w:rFonts w:hint="eastAsia" w:ascii="宋体" w:hAnsi="宋体" w:cs="宋体"/>
          <w:sz w:val="24"/>
          <w:szCs w:val="24"/>
        </w:rPr>
        <w:t>(项目编号：</w:t>
      </w:r>
      <w:r>
        <w:rPr>
          <w:rFonts w:hint="eastAsia" w:hAnsi="宋体" w:cs="宋体"/>
          <w:sz w:val="24"/>
          <w:szCs w:val="24"/>
          <w:lang w:val="en-US" w:eastAsia="zh-CN"/>
        </w:rPr>
        <w:t xml:space="preserve">   </w:t>
      </w:r>
      <w:r>
        <w:rPr>
          <w:rFonts w:hint="eastAsia" w:ascii="宋体" w:hAnsi="宋体" w:cs="宋体"/>
          <w:sz w:val="24"/>
          <w:szCs w:val="24"/>
        </w:rPr>
        <w:t>)成交供应商。依据《中华人民共和国政府采购法》、《中华人民共和国民法典》 以及本项目磋商文件、成交通知书，经甲、乙双方协商，鉴证方确认，达成如下合同条款。</w:t>
      </w:r>
    </w:p>
    <w:p w14:paraId="4D86A80E">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一、合同标的物内容及数量</w:t>
      </w:r>
    </w:p>
    <w:p w14:paraId="52E74827">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28118CFD">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4F75C439">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二、服务条件：</w:t>
      </w:r>
    </w:p>
    <w:p w14:paraId="6102EA09">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(一) 服务地点：</w:t>
      </w:r>
      <w:r>
        <w:rPr>
          <w:rFonts w:hint="eastAsia" w:ascii="宋体" w:hAnsi="宋体" w:cs="宋体"/>
          <w:sz w:val="24"/>
          <w:szCs w:val="24"/>
          <w:lang w:val="en-US" w:eastAsia="zh-CN"/>
        </w:rPr>
        <w:t>西安市（</w:t>
      </w:r>
      <w:r>
        <w:rPr>
          <w:rFonts w:hint="eastAsia" w:ascii="宋体" w:hAnsi="宋体" w:cs="宋体"/>
          <w:sz w:val="24"/>
          <w:szCs w:val="24"/>
        </w:rPr>
        <w:t>西安住房公积金管理中心</w:t>
      </w:r>
      <w:r>
        <w:rPr>
          <w:rFonts w:hint="eastAsia" w:ascii="宋体" w:hAnsi="宋体" w:cs="宋体"/>
          <w:sz w:val="24"/>
          <w:szCs w:val="24"/>
          <w:lang w:val="en-US" w:eastAsia="zh-CN"/>
        </w:rPr>
        <w:t>）</w:t>
      </w:r>
      <w:r>
        <w:rPr>
          <w:rFonts w:hint="eastAsia" w:ascii="宋体" w:hAnsi="宋体" w:cs="宋体"/>
          <w:sz w:val="24"/>
          <w:szCs w:val="24"/>
        </w:rPr>
        <w:t>。</w:t>
      </w:r>
    </w:p>
    <w:p w14:paraId="5445E0C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(二) 服务期：</w:t>
      </w:r>
      <w:r>
        <w:rPr>
          <w:rFonts w:hint="eastAsia" w:hAnsi="宋体" w:cs="宋体"/>
          <w:sz w:val="24"/>
          <w:szCs w:val="24"/>
          <w:lang w:val="en-US" w:eastAsia="zh-CN"/>
        </w:rPr>
        <w:t xml:space="preserve">                   </w:t>
      </w:r>
      <w:r>
        <w:rPr>
          <w:rFonts w:hint="eastAsia" w:ascii="宋体" w:hAnsi="宋体" w:cs="宋体"/>
          <w:sz w:val="24"/>
          <w:szCs w:val="24"/>
        </w:rPr>
        <w:t>。</w:t>
      </w:r>
    </w:p>
    <w:p w14:paraId="22C8201C">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三、合同价款</w:t>
      </w:r>
    </w:p>
    <w:p w14:paraId="6BF6C014">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(一) 合同总价款为人民币 (大写)</w:t>
      </w:r>
      <w:r>
        <w:rPr>
          <w:rFonts w:hint="eastAsia" w:ascii="宋体" w:hAnsi="宋体" w:cs="宋体"/>
          <w:sz w:val="24"/>
          <w:szCs w:val="24"/>
          <w:u w:val="single"/>
        </w:rPr>
        <w:t xml:space="preserve">            </w:t>
      </w:r>
      <w:r>
        <w:rPr>
          <w:rFonts w:hint="eastAsia" w:ascii="宋体" w:hAnsi="宋体" w:cs="宋体"/>
          <w:sz w:val="24"/>
          <w:szCs w:val="24"/>
        </w:rPr>
        <w:t>元整 ；￥</w:t>
      </w:r>
      <w:r>
        <w:rPr>
          <w:rFonts w:hint="eastAsia" w:ascii="宋体" w:hAnsi="宋体" w:cs="宋体"/>
          <w:sz w:val="24"/>
          <w:szCs w:val="24"/>
          <w:u w:val="single"/>
        </w:rPr>
        <w:t xml:space="preserve">        </w:t>
      </w:r>
      <w:r>
        <w:rPr>
          <w:rFonts w:hint="eastAsia" w:ascii="宋体" w:hAnsi="宋体" w:cs="宋体"/>
          <w:sz w:val="24"/>
          <w:szCs w:val="24"/>
        </w:rPr>
        <w:t>元，且此价款已包含了甲方订立、履行本协议所须支付的税项 (包含但不限于增值税及其附加税费) 。</w:t>
      </w:r>
    </w:p>
    <w:p w14:paraId="2BA280A2">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(二) 合同总价包括：维保费和其他费用。</w:t>
      </w:r>
    </w:p>
    <w:p w14:paraId="51BE95B5">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(三) 合同总价一次性包死，不受市场价格变化因素的影响。</w:t>
      </w:r>
    </w:p>
    <w:p w14:paraId="28E056E7">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四、款项结算</w:t>
      </w:r>
    </w:p>
    <w:p w14:paraId="54BC666D">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lang w:eastAsia="zh-CN"/>
        </w:rPr>
      </w:pPr>
      <w:r>
        <w:rPr>
          <w:rFonts w:hint="eastAsia" w:ascii="宋体" w:hAnsi="宋体" w:cs="宋体"/>
          <w:sz w:val="24"/>
          <w:szCs w:val="24"/>
          <w:lang w:eastAsia="zh-CN"/>
        </w:rPr>
        <w:t>（</w:t>
      </w:r>
      <w:r>
        <w:rPr>
          <w:rFonts w:hint="eastAsia" w:ascii="宋体" w:hAnsi="宋体" w:cs="宋体"/>
          <w:sz w:val="24"/>
          <w:szCs w:val="24"/>
          <w:lang w:val="en-US" w:eastAsia="zh-CN"/>
        </w:rPr>
        <w:t>一</w:t>
      </w:r>
      <w:r>
        <w:rPr>
          <w:rFonts w:hint="eastAsia" w:ascii="宋体" w:hAnsi="宋体" w:cs="宋体"/>
          <w:sz w:val="24"/>
          <w:szCs w:val="24"/>
          <w:lang w:eastAsia="zh-CN"/>
        </w:rPr>
        <w:t>）1、合同签订后，合同签订后在一个月内支付合同金额30%首付款，2026年6月底前支付合同总价款的60%，服务期满并验收合格后，10个工作日内支付合同总价款的10%。</w:t>
      </w:r>
    </w:p>
    <w:p w14:paraId="6D38EF89">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(二) 支付方式：银行转账。</w:t>
      </w:r>
    </w:p>
    <w:p w14:paraId="03133506">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(三) 结算方式：验收合格后填写政府采购项目验收单 (一式伍份) 、发票 (按合同总价直开甲方)，乙方持成交通知书、服务合同、发票、政府采购项目验收单，与甲方进行结算。</w:t>
      </w:r>
    </w:p>
    <w:p w14:paraId="2AC0CD19">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五、双方的权利和义务</w:t>
      </w:r>
    </w:p>
    <w:p w14:paraId="3C71D0A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(一) 甲方的权利和义务</w:t>
      </w:r>
    </w:p>
    <w:p w14:paraId="0E794B27">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1、在乙方进行现场维护时，甲方应在维护地点附近为乙方人员提供贮物空间，为乙方维保工作提供便利。</w:t>
      </w:r>
    </w:p>
    <w:p w14:paraId="3897BBB5">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2、在甲方安全规定允许的前提下，为乙方的人员进入维护现场提供方便。</w:t>
      </w:r>
    </w:p>
    <w:p w14:paraId="1748043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3、在条件允许的情况下，甲方可按照乙方的指导进行非现场维护操作。</w:t>
      </w:r>
    </w:p>
    <w:p w14:paraId="029C312E">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4、甲方及时将本合同下维保范围内出现的故障情况通知乙方，乙方负责做好故障有关资料的记录工作。</w:t>
      </w:r>
    </w:p>
    <w:p w14:paraId="7A67E944">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5、甲方对乙方工作人员在甲方现场的人身及财产的安全不负责任，除非损害是甲方故意造成的。</w:t>
      </w:r>
    </w:p>
    <w:p w14:paraId="76D064DE">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6、应乙方维保要求，甲方需提供所需维保服务的所有设备的产品型号、序列号、配置、购买时间、安装地点和设备用途等信息。</w:t>
      </w:r>
    </w:p>
    <w:p w14:paraId="2C74D3E7">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7、甲方有权对乙方工程师的工作态度、技术水平进行监督和评判并提出相应的要求，乙方也会由独立的服务质量监督人员对甲方予以不定期的回访。</w:t>
      </w:r>
    </w:p>
    <w:p w14:paraId="6E9AD508">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8、未经甲方书面同意，乙方不得将本合同部分或全部技术服务工作转让给第三人承担，但不包括转让给维护产品的原厂商进行服务。甲方不对乙方将本合同部分或者全部服务工作转让给第三人所产生的费用负责。</w:t>
      </w:r>
    </w:p>
    <w:p w14:paraId="7ED84D5E">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9、甲方负责提供故障发生前后相关的系统或设备资料、数据和原始记录。</w:t>
      </w:r>
    </w:p>
    <w:p w14:paraId="155170D6">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(二) 乙方的权利和义务</w:t>
      </w:r>
    </w:p>
    <w:p w14:paraId="2F98FBC2">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1、乙方确保提供维保服务的</w:t>
      </w:r>
      <w:r>
        <w:rPr>
          <w:rFonts w:hint="eastAsia" w:hAnsi="宋体" w:cs="宋体"/>
          <w:sz w:val="24"/>
          <w:szCs w:val="24"/>
          <w:lang w:val="en-US" w:eastAsia="zh-CN"/>
        </w:rPr>
        <w:t>系统和服务</w:t>
      </w:r>
      <w:r>
        <w:rPr>
          <w:rFonts w:hint="eastAsia" w:ascii="宋体" w:hAnsi="宋体" w:cs="宋体"/>
          <w:sz w:val="24"/>
          <w:szCs w:val="24"/>
        </w:rPr>
        <w:t>能够稳定安全的运行。保证</w:t>
      </w:r>
      <w:r>
        <w:rPr>
          <w:rFonts w:hint="eastAsia" w:hAnsi="宋体" w:cs="宋体"/>
          <w:sz w:val="24"/>
          <w:szCs w:val="24"/>
          <w:lang w:val="en-US" w:eastAsia="zh-CN"/>
        </w:rPr>
        <w:t>系统和服务</w:t>
      </w:r>
      <w:r>
        <w:rPr>
          <w:rFonts w:hint="eastAsia" w:ascii="宋体" w:hAnsi="宋体" w:cs="宋体"/>
          <w:sz w:val="24"/>
          <w:szCs w:val="24"/>
        </w:rPr>
        <w:t>的技术全面满足竞争性磋商文件要求。</w:t>
      </w:r>
    </w:p>
    <w:p w14:paraId="52582DDF">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 按照合同要求在规定时间内提供专业化技术人员在甲方现场驻守，确保系统正常运行及机房安全。当机房内任何设备出现故障时，乙方技术人员能够及时发现，并及时通知甲方工作人员及设备维保公司。</w:t>
      </w:r>
    </w:p>
    <w:p w14:paraId="5FD5C28F">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3、乙方为甲方提供定期巡检，做好预防性维护。</w:t>
      </w:r>
    </w:p>
    <w:p w14:paraId="583D6A32">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4、乙方进入甲方机房，必须持有甲方签发的通行证，并由甲方人员陪同，同时遵守机房的各种规定。</w:t>
      </w:r>
    </w:p>
    <w:p w14:paraId="4857D105">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乙方在甲方机房操作期间必须由甲方人员进行现场监督，所进行的操作必须经过甲方同意；工作结束后，需经甲乙双方现场人员检查系统，书面确认操作内容和操作达到目的，且系统运行正常后方可离开现场。</w:t>
      </w:r>
    </w:p>
    <w:p w14:paraId="20C043C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6、乙方保证在甲方现场的工作人员严格按照甲方现场管理要求和工作纪律行事。</w:t>
      </w:r>
    </w:p>
    <w:p w14:paraId="4E575BA2">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7、因乙方技术问题或维护问题造成甲方的硬件受到损坏，乙方应负责赔偿甲方因此所遭受的全部损失。</w:t>
      </w:r>
    </w:p>
    <w:p w14:paraId="6BC3A10D">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8、乙方在接到甲方紧急事故报告后，必须赶乘最快交通工具到达现场。如因乙方原因导致维修技术人员未能按约定按时到达进行处理，由此对甲方业务系统造成影响，乙方应承担相应责任，并按每延误一 天乙方向甲方支付技术服务费总金额【1％】即为人民币(大写)</w:t>
      </w:r>
      <w:r>
        <w:rPr>
          <w:rFonts w:hint="eastAsia" w:ascii="宋体" w:hAnsi="宋体" w:cs="宋体"/>
          <w:sz w:val="24"/>
          <w:szCs w:val="24"/>
          <w:u w:val="single"/>
        </w:rPr>
        <w:t xml:space="preserve">   </w:t>
      </w:r>
      <w:r>
        <w:rPr>
          <w:rFonts w:hint="eastAsia" w:ascii="宋体" w:hAnsi="宋体" w:cs="宋体"/>
          <w:sz w:val="24"/>
          <w:szCs w:val="24"/>
        </w:rPr>
        <w:t>元整, (小写) ￥</w:t>
      </w:r>
      <w:r>
        <w:rPr>
          <w:rFonts w:hint="eastAsia" w:ascii="宋体" w:hAnsi="宋体" w:cs="宋体"/>
          <w:sz w:val="24"/>
          <w:szCs w:val="24"/>
          <w:u w:val="single"/>
        </w:rPr>
        <w:t xml:space="preserve">  </w:t>
      </w:r>
      <w:r>
        <w:rPr>
          <w:rFonts w:hint="eastAsia" w:ascii="宋体" w:hAnsi="宋体" w:cs="宋体"/>
          <w:sz w:val="24"/>
          <w:szCs w:val="24"/>
        </w:rPr>
        <w:t>元的违约金。</w:t>
      </w:r>
    </w:p>
    <w:p w14:paraId="25400CF4">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9、乙方应按甲方要求如期向甲方交付相关文档，如定期的巡检报告服务季度报告、现场服务单等。</w:t>
      </w:r>
    </w:p>
    <w:p w14:paraId="6DE32B3E">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10、乙方在服务过程中发现非本合同服务范围内的软硬件问题导致系统故障，应及时向甲方汇报，在获得甲方的许可和费用确认后，应向甲方提供不低于本合同约定服务范围内软硬件的维保服务。</w:t>
      </w:r>
    </w:p>
    <w:p w14:paraId="6B4A312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11、乙方应当保证，依本合同为甲方提供的技术服务过程和其为甲方提供的服务成果不侵犯任何第三人的合法权益。如果有人提出法律诉讼或启动行政程序 (合称“侵权指控”) ，声称甲方使用的技术服务成果侵犯了其知识产权，乙方同意赔偿甲方就此所承担的所有费用和给甲方造成的损失，包括但不限于上述侵权指控中所产生的一切诉讼费用、合理的律师费用、和解金额或终审判决中规定的赔偿金额等。</w:t>
      </w:r>
    </w:p>
    <w:p w14:paraId="197E6FFA">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如果在侵权指控的审理过程中有关法院或行政机关禁止甲方继续使用技术服务成果的部分或全部，乙方应当采取以下措施之一避免甲方损失的扩大，同时应对甲方造成的损失给予全额赔偿：</w:t>
      </w:r>
    </w:p>
    <w:p w14:paraId="28098DD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 使甲方重新获得使用上述技术服务成果的权利；</w:t>
      </w:r>
    </w:p>
    <w:p w14:paraId="58D919F6">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 更换或改造上述技术服务成果，使甲方不受上述禁令限制继续使用技术服务成果。</w:t>
      </w:r>
    </w:p>
    <w:p w14:paraId="554B08C2">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六、质量保证</w:t>
      </w:r>
    </w:p>
    <w:p w14:paraId="1CB475EB">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乙方所供服务必须执行下列条款：</w:t>
      </w:r>
    </w:p>
    <w:p w14:paraId="0F99D5E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1、乙方维保方案和方式科学、可行，人员配置合理，全面满足要求。</w:t>
      </w:r>
    </w:p>
    <w:p w14:paraId="1BDA266C">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2、符合国家有关服务规范要求，确保各项系统达到竞争性磋商文件符合国家有关服务规范要求，确保各项</w:t>
      </w:r>
      <w:r>
        <w:rPr>
          <w:rFonts w:hint="eastAsia" w:hAnsi="宋体" w:cs="宋体"/>
          <w:sz w:val="24"/>
          <w:szCs w:val="24"/>
          <w:lang w:val="en-US" w:eastAsia="zh-CN"/>
        </w:rPr>
        <w:t>内容达到</w:t>
      </w:r>
      <w:r>
        <w:rPr>
          <w:rFonts w:hint="eastAsia" w:ascii="宋体" w:hAnsi="宋体" w:cs="宋体"/>
          <w:sz w:val="24"/>
          <w:szCs w:val="24"/>
        </w:rPr>
        <w:t>竞争性磋商文件第三章磋商项目技术、服务、商务及其他要求。</w:t>
      </w:r>
    </w:p>
    <w:p w14:paraId="419E7798">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3、乙方提供的服务，若发生侵权而产生的一切后果，由乙方负责。甲方保留索赔权力。</w:t>
      </w:r>
    </w:p>
    <w:p w14:paraId="3401199D">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4、乙方提供维保技术服务期间，保证甲方设备、网络、应用系统及数据的安全，并对甲方的所有相关数据进行保密，不得外泄。在服务周期内，维保项目内的软件 (软件能随时升级)</w:t>
      </w:r>
      <w:r>
        <w:rPr>
          <w:rFonts w:hint="eastAsia" w:hAnsi="宋体" w:cs="宋体"/>
          <w:sz w:val="24"/>
          <w:szCs w:val="24"/>
          <w:lang w:eastAsia="zh-CN"/>
        </w:rPr>
        <w:t>，</w:t>
      </w:r>
      <w:r>
        <w:rPr>
          <w:rFonts w:hint="eastAsia" w:ascii="宋体" w:hAnsi="宋体" w:cs="宋体"/>
          <w:sz w:val="24"/>
          <w:szCs w:val="24"/>
        </w:rPr>
        <w:t>在维护过程中所产生的费用，全部由乙方承担，甲方不承担任何费用。</w:t>
      </w:r>
    </w:p>
    <w:p w14:paraId="623F1964">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hAnsi="宋体" w:cs="宋体"/>
          <w:sz w:val="24"/>
          <w:szCs w:val="24"/>
          <w:lang w:val="en-US" w:eastAsia="zh-CN"/>
        </w:rPr>
        <w:t>5</w:t>
      </w:r>
      <w:r>
        <w:rPr>
          <w:rFonts w:hint="eastAsia" w:ascii="宋体" w:hAnsi="宋体" w:cs="宋体"/>
          <w:sz w:val="24"/>
          <w:szCs w:val="24"/>
        </w:rPr>
        <w:t>、乙方保证对服务内容提供7*24 小时的维保服务。对于甲方出现的任何故障，乙方接到甲方通过书面通知、电话、信函、传真、电子邮件等任何一种方式提出的故障通知后，半小时内做出响应，三小时内排除故障，95%的故障或安全事件应在以上规定时间内得到解决</w:t>
      </w:r>
      <w:r>
        <w:rPr>
          <w:rFonts w:hint="eastAsia" w:hAnsi="宋体" w:cs="宋体"/>
          <w:sz w:val="24"/>
          <w:szCs w:val="24"/>
          <w:lang w:eastAsia="zh-CN"/>
        </w:rPr>
        <w:t>。</w:t>
      </w:r>
    </w:p>
    <w:p w14:paraId="0C82F4CC">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hAnsi="宋体" w:cs="宋体"/>
          <w:sz w:val="24"/>
          <w:szCs w:val="24"/>
          <w:lang w:val="en-US" w:eastAsia="zh-CN"/>
        </w:rPr>
        <w:t>6</w:t>
      </w:r>
      <w:r>
        <w:rPr>
          <w:rFonts w:hint="eastAsia" w:ascii="宋体" w:hAnsi="宋体" w:cs="宋体"/>
          <w:sz w:val="24"/>
          <w:szCs w:val="24"/>
        </w:rPr>
        <w:t>、乙方应在接到甲方故障通知后【</w:t>
      </w:r>
      <w:r>
        <w:rPr>
          <w:rFonts w:hint="eastAsia" w:hAnsi="宋体" w:cs="宋体"/>
          <w:sz w:val="24"/>
          <w:szCs w:val="24"/>
          <w:lang w:val="en-US" w:eastAsia="zh-CN"/>
        </w:rPr>
        <w:t>3</w:t>
      </w:r>
      <w:r>
        <w:rPr>
          <w:rFonts w:hint="eastAsia" w:ascii="宋体" w:hAnsi="宋体" w:cs="宋体"/>
          <w:sz w:val="24"/>
          <w:szCs w:val="24"/>
        </w:rPr>
        <w:t>】小时内，完成故障修复工作，并经甲方验收确认。甲方工作人员在验收单上签署的验收合格时间为乙方实际完成维保技术服务的时间。</w:t>
      </w:r>
    </w:p>
    <w:p w14:paraId="15ED8CD8">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hAnsi="宋体" w:cs="宋体"/>
          <w:sz w:val="24"/>
          <w:szCs w:val="24"/>
          <w:lang w:val="en-US" w:eastAsia="zh-CN"/>
        </w:rPr>
        <w:t>7</w:t>
      </w:r>
      <w:r>
        <w:rPr>
          <w:rFonts w:hint="eastAsia" w:ascii="宋体" w:hAnsi="宋体" w:cs="宋体"/>
          <w:sz w:val="24"/>
          <w:szCs w:val="24"/>
        </w:rPr>
        <w:t>、乙方应建立完善的服务受理记录，并可由甲方随时进行纸质或电子化查阅，乙方的服务受理记录与甲方工作人员签署的技术服务验收合格的验收单不符的，以验收单为准。</w:t>
      </w:r>
    </w:p>
    <w:p w14:paraId="2939580F">
      <w:pPr>
        <w:widowControl/>
        <w:kinsoku w:val="0"/>
        <w:autoSpaceDE w:val="0"/>
        <w:autoSpaceDN w:val="0"/>
        <w:adjustRightInd w:val="0"/>
        <w:snapToGrid w:val="0"/>
        <w:spacing w:line="360" w:lineRule="auto"/>
        <w:ind w:firstLine="480" w:firstLineChars="200"/>
        <w:textAlignment w:val="baseline"/>
        <w:rPr>
          <w:rFonts w:hint="eastAsia" w:hAnsi="宋体" w:cs="宋体"/>
          <w:sz w:val="24"/>
          <w:szCs w:val="24"/>
          <w:highlight w:val="none"/>
          <w:lang w:val="en-US" w:eastAsia="zh-CN"/>
        </w:rPr>
      </w:pPr>
      <w:r>
        <w:rPr>
          <w:rFonts w:hint="eastAsia" w:hAnsi="宋体" w:cs="宋体"/>
          <w:sz w:val="24"/>
          <w:szCs w:val="24"/>
          <w:highlight w:val="none"/>
          <w:lang w:val="en-US" w:eastAsia="zh-CN"/>
        </w:rPr>
        <w:t>8、</w:t>
      </w:r>
      <w:r>
        <w:rPr>
          <w:rFonts w:hint="eastAsia" w:ascii="宋体" w:hAnsi="宋体" w:cs="宋体"/>
          <w:sz w:val="24"/>
          <w:szCs w:val="24"/>
          <w:highlight w:val="none"/>
        </w:rPr>
        <w:t>乙方应具备</w:t>
      </w:r>
      <w:r>
        <w:rPr>
          <w:rFonts w:hint="eastAsia" w:ascii="宋体" w:hAnsi="宋体" w:cs="宋体"/>
          <w:sz w:val="24"/>
          <w:szCs w:val="24"/>
          <w:highlight w:val="none"/>
          <w:lang w:val="en-US" w:eastAsia="zh-CN"/>
        </w:rPr>
        <w:t>系统升级和修复</w:t>
      </w:r>
      <w:r>
        <w:rPr>
          <w:rFonts w:hint="eastAsia" w:ascii="宋体" w:hAnsi="宋体" w:cs="宋体"/>
          <w:sz w:val="24"/>
          <w:szCs w:val="24"/>
          <w:highlight w:val="none"/>
        </w:rPr>
        <w:t>的服务能力，提供服务期间，因甲方</w:t>
      </w:r>
      <w:r>
        <w:rPr>
          <w:rFonts w:hint="eastAsia" w:ascii="宋体" w:hAnsi="宋体" w:cs="宋体"/>
          <w:sz w:val="24"/>
          <w:szCs w:val="24"/>
          <w:highlight w:val="none"/>
          <w:lang w:val="en-US" w:eastAsia="zh-CN"/>
        </w:rPr>
        <w:t>系统故障</w:t>
      </w:r>
      <w:r>
        <w:rPr>
          <w:rFonts w:hint="eastAsia" w:ascii="宋体" w:hAnsi="宋体" w:cs="宋体"/>
          <w:sz w:val="24"/>
          <w:szCs w:val="24"/>
          <w:highlight w:val="none"/>
        </w:rPr>
        <w:t>需要</w:t>
      </w:r>
      <w:r>
        <w:rPr>
          <w:rFonts w:hint="eastAsia" w:ascii="宋体" w:hAnsi="宋体" w:cs="宋体"/>
          <w:sz w:val="24"/>
          <w:szCs w:val="24"/>
          <w:highlight w:val="none"/>
          <w:lang w:val="en-US" w:eastAsia="zh-CN"/>
        </w:rPr>
        <w:t>升级和恢复系统</w:t>
      </w:r>
      <w:r>
        <w:rPr>
          <w:rFonts w:hint="eastAsia" w:ascii="宋体" w:hAnsi="宋体" w:cs="宋体"/>
          <w:sz w:val="24"/>
          <w:szCs w:val="24"/>
          <w:highlight w:val="none"/>
        </w:rPr>
        <w:t>的，更换周期不得超过 5 个工作日，更换的</w:t>
      </w:r>
      <w:r>
        <w:rPr>
          <w:rFonts w:hint="eastAsia" w:ascii="宋体" w:hAnsi="宋体" w:cs="宋体"/>
          <w:sz w:val="24"/>
          <w:szCs w:val="24"/>
          <w:highlight w:val="none"/>
          <w:lang w:val="en-US" w:eastAsia="zh-CN"/>
        </w:rPr>
        <w:t>升级和恢复系统</w:t>
      </w:r>
      <w:r>
        <w:rPr>
          <w:rFonts w:hint="eastAsia" w:ascii="宋体" w:hAnsi="宋体" w:cs="宋体"/>
          <w:sz w:val="24"/>
          <w:szCs w:val="24"/>
          <w:highlight w:val="none"/>
        </w:rPr>
        <w:t>必须是原厂全新的，并对</w:t>
      </w:r>
      <w:r>
        <w:rPr>
          <w:rFonts w:hint="eastAsia" w:ascii="宋体" w:hAnsi="宋体" w:cs="宋体"/>
          <w:sz w:val="24"/>
          <w:szCs w:val="24"/>
          <w:highlight w:val="none"/>
          <w:lang w:val="en-US" w:eastAsia="zh-CN"/>
        </w:rPr>
        <w:t>升级和恢复系统</w:t>
      </w:r>
      <w:r>
        <w:rPr>
          <w:rFonts w:hint="eastAsia" w:ascii="宋体" w:hAnsi="宋体" w:cs="宋体"/>
          <w:sz w:val="24"/>
          <w:szCs w:val="24"/>
          <w:highlight w:val="none"/>
        </w:rPr>
        <w:t>提供自更换之日起至少一年的质保期，且乙方对所有服务设备的全部故障件的维修、更换、配件的运输等均是免费的。所有</w:t>
      </w:r>
      <w:r>
        <w:rPr>
          <w:rFonts w:hint="eastAsia" w:ascii="宋体" w:hAnsi="宋体" w:cs="宋体"/>
          <w:sz w:val="24"/>
          <w:szCs w:val="24"/>
          <w:highlight w:val="none"/>
          <w:lang w:val="en-US" w:eastAsia="zh-CN"/>
        </w:rPr>
        <w:t>升级和恢复</w:t>
      </w:r>
      <w:r>
        <w:rPr>
          <w:rFonts w:hint="eastAsia" w:hAnsi="宋体" w:cs="宋体"/>
          <w:sz w:val="24"/>
          <w:szCs w:val="24"/>
          <w:highlight w:val="none"/>
          <w:lang w:val="en-US" w:eastAsia="zh-CN"/>
        </w:rPr>
        <w:t>的</w:t>
      </w:r>
      <w:r>
        <w:rPr>
          <w:rFonts w:hint="eastAsia" w:ascii="宋体" w:hAnsi="宋体" w:cs="宋体"/>
          <w:sz w:val="24"/>
          <w:szCs w:val="24"/>
          <w:highlight w:val="none"/>
          <w:lang w:val="en-US" w:eastAsia="zh-CN"/>
        </w:rPr>
        <w:t>系统</w:t>
      </w:r>
      <w:r>
        <w:rPr>
          <w:rFonts w:hint="eastAsia" w:ascii="宋体" w:hAnsi="宋体" w:cs="宋体"/>
          <w:sz w:val="24"/>
          <w:szCs w:val="24"/>
          <w:highlight w:val="none"/>
        </w:rPr>
        <w:t>均为与</w:t>
      </w:r>
      <w:r>
        <w:rPr>
          <w:rFonts w:hint="eastAsia" w:ascii="宋体" w:hAnsi="宋体" w:cs="宋体"/>
          <w:sz w:val="24"/>
          <w:szCs w:val="24"/>
          <w:highlight w:val="none"/>
          <w:lang w:val="en-US" w:eastAsia="zh-CN"/>
        </w:rPr>
        <w:t>系统</w:t>
      </w:r>
      <w:r>
        <w:rPr>
          <w:rFonts w:hint="eastAsia" w:ascii="宋体" w:hAnsi="宋体" w:cs="宋体"/>
          <w:sz w:val="24"/>
          <w:szCs w:val="24"/>
          <w:highlight w:val="none"/>
        </w:rPr>
        <w:t>的型号相同，或</w:t>
      </w:r>
      <w:r>
        <w:rPr>
          <w:rFonts w:hint="eastAsia" w:ascii="宋体" w:hAnsi="宋体" w:cs="宋体"/>
          <w:sz w:val="24"/>
          <w:szCs w:val="24"/>
          <w:highlight w:val="none"/>
          <w:lang w:val="en-US" w:eastAsia="zh-CN"/>
        </w:rPr>
        <w:t>版本</w:t>
      </w:r>
      <w:r>
        <w:rPr>
          <w:rFonts w:hint="eastAsia" w:ascii="宋体" w:hAnsi="宋体" w:cs="宋体"/>
          <w:sz w:val="24"/>
          <w:szCs w:val="24"/>
          <w:highlight w:val="none"/>
        </w:rPr>
        <w:t>不低于原有</w:t>
      </w:r>
      <w:r>
        <w:rPr>
          <w:rFonts w:hint="eastAsia" w:ascii="宋体" w:hAnsi="宋体" w:cs="宋体"/>
          <w:sz w:val="24"/>
          <w:szCs w:val="24"/>
          <w:highlight w:val="none"/>
          <w:lang w:val="en-US" w:eastAsia="zh-CN"/>
        </w:rPr>
        <w:t>系统</w:t>
      </w:r>
      <w:r>
        <w:rPr>
          <w:rFonts w:hint="eastAsia" w:ascii="宋体" w:hAnsi="宋体" w:cs="宋体"/>
          <w:sz w:val="24"/>
          <w:szCs w:val="24"/>
          <w:highlight w:val="none"/>
        </w:rPr>
        <w:t>。所有因</w:t>
      </w:r>
      <w:r>
        <w:rPr>
          <w:rFonts w:hint="eastAsia" w:ascii="宋体" w:hAnsi="宋体" w:cs="宋体"/>
          <w:sz w:val="24"/>
          <w:szCs w:val="24"/>
          <w:highlight w:val="none"/>
          <w:lang w:val="en-US" w:eastAsia="zh-CN"/>
        </w:rPr>
        <w:t>系统</w:t>
      </w:r>
      <w:r>
        <w:rPr>
          <w:rFonts w:hint="eastAsia" w:ascii="宋体" w:hAnsi="宋体" w:cs="宋体"/>
          <w:sz w:val="24"/>
          <w:szCs w:val="24"/>
          <w:highlight w:val="none"/>
        </w:rPr>
        <w:t>问题引发的</w:t>
      </w:r>
      <w:r>
        <w:rPr>
          <w:rFonts w:hint="eastAsia" w:ascii="宋体" w:hAnsi="宋体" w:cs="宋体"/>
          <w:sz w:val="24"/>
          <w:szCs w:val="24"/>
          <w:highlight w:val="none"/>
          <w:lang w:val="en-US" w:eastAsia="zh-CN"/>
        </w:rPr>
        <w:t>安全事故</w:t>
      </w:r>
      <w:r>
        <w:rPr>
          <w:rFonts w:hint="eastAsia" w:ascii="宋体" w:hAnsi="宋体" w:cs="宋体"/>
          <w:sz w:val="24"/>
          <w:szCs w:val="24"/>
          <w:highlight w:val="none"/>
        </w:rPr>
        <w:t>或造成的损失均由乙方承担全部责任。乙方在为</w:t>
      </w:r>
      <w:r>
        <w:rPr>
          <w:rFonts w:hint="eastAsia" w:ascii="宋体" w:hAnsi="宋体" w:cs="宋体"/>
          <w:sz w:val="24"/>
          <w:szCs w:val="24"/>
          <w:highlight w:val="none"/>
          <w:lang w:val="en-US" w:eastAsia="zh-CN"/>
        </w:rPr>
        <w:t>系统问题升级修复系统</w:t>
      </w:r>
      <w:r>
        <w:rPr>
          <w:rFonts w:hint="eastAsia" w:ascii="宋体" w:hAnsi="宋体" w:cs="宋体"/>
          <w:sz w:val="24"/>
          <w:szCs w:val="24"/>
          <w:highlight w:val="none"/>
        </w:rPr>
        <w:t>期间，应自行向甲方提供</w:t>
      </w:r>
      <w:r>
        <w:rPr>
          <w:rFonts w:hint="eastAsia" w:ascii="宋体" w:hAnsi="宋体" w:cs="宋体"/>
          <w:sz w:val="24"/>
          <w:szCs w:val="24"/>
          <w:highlight w:val="none"/>
          <w:lang w:val="en-US" w:eastAsia="zh-CN"/>
        </w:rPr>
        <w:t>备用系统</w:t>
      </w:r>
      <w:r>
        <w:rPr>
          <w:rFonts w:hint="eastAsia" w:ascii="宋体" w:hAnsi="宋体" w:cs="宋体"/>
          <w:sz w:val="24"/>
          <w:szCs w:val="24"/>
          <w:highlight w:val="none"/>
        </w:rPr>
        <w:t>，保证</w:t>
      </w:r>
      <w:r>
        <w:rPr>
          <w:rFonts w:hint="eastAsia" w:ascii="宋体" w:hAnsi="宋体" w:cs="宋体"/>
          <w:sz w:val="24"/>
          <w:szCs w:val="24"/>
          <w:highlight w:val="none"/>
          <w:lang w:val="en-US" w:eastAsia="zh-CN"/>
        </w:rPr>
        <w:t>对</w:t>
      </w:r>
      <w:r>
        <w:rPr>
          <w:rFonts w:hint="eastAsia" w:ascii="宋体" w:hAnsi="宋体" w:cs="宋体"/>
          <w:sz w:val="24"/>
          <w:szCs w:val="24"/>
          <w:highlight w:val="none"/>
        </w:rPr>
        <w:t>甲方</w:t>
      </w:r>
      <w:r>
        <w:rPr>
          <w:rFonts w:hint="eastAsia" w:ascii="宋体" w:hAnsi="宋体" w:cs="宋体"/>
          <w:sz w:val="24"/>
          <w:szCs w:val="24"/>
          <w:highlight w:val="none"/>
          <w:lang w:val="en-US" w:eastAsia="zh-CN"/>
        </w:rPr>
        <w:t>服务</w:t>
      </w:r>
      <w:r>
        <w:rPr>
          <w:rFonts w:hint="eastAsia" w:ascii="宋体" w:hAnsi="宋体" w:cs="宋体"/>
          <w:sz w:val="24"/>
          <w:szCs w:val="24"/>
          <w:highlight w:val="none"/>
        </w:rPr>
        <w:t>的正常运行，不因</w:t>
      </w:r>
      <w:r>
        <w:rPr>
          <w:rFonts w:hint="eastAsia" w:ascii="宋体" w:hAnsi="宋体" w:cs="宋体"/>
          <w:sz w:val="24"/>
          <w:szCs w:val="24"/>
          <w:highlight w:val="none"/>
          <w:lang w:val="en-US" w:eastAsia="zh-CN"/>
        </w:rPr>
        <w:t>系统故障</w:t>
      </w:r>
      <w:r>
        <w:rPr>
          <w:rFonts w:hint="eastAsia" w:ascii="宋体" w:hAnsi="宋体" w:cs="宋体"/>
          <w:sz w:val="24"/>
          <w:szCs w:val="24"/>
          <w:highlight w:val="none"/>
        </w:rPr>
        <w:t>影响甲方</w:t>
      </w:r>
      <w:r>
        <w:rPr>
          <w:rFonts w:hint="eastAsia" w:ascii="宋体" w:hAnsi="宋体" w:cs="宋体"/>
          <w:sz w:val="24"/>
          <w:szCs w:val="24"/>
          <w:highlight w:val="none"/>
          <w:lang w:val="en-US" w:eastAsia="zh-CN"/>
        </w:rPr>
        <w:t>服务</w:t>
      </w:r>
      <w:r>
        <w:rPr>
          <w:rFonts w:hint="eastAsia" w:ascii="宋体" w:hAnsi="宋体" w:cs="宋体"/>
          <w:sz w:val="24"/>
          <w:szCs w:val="24"/>
          <w:highlight w:val="none"/>
        </w:rPr>
        <w:t>的运行。</w:t>
      </w:r>
    </w:p>
    <w:p w14:paraId="685DE7D8">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highlight w:val="none"/>
        </w:rPr>
      </w:pPr>
      <w:r>
        <w:rPr>
          <w:rFonts w:hint="eastAsia" w:hAnsi="宋体" w:cs="宋体"/>
          <w:sz w:val="24"/>
          <w:szCs w:val="24"/>
          <w:highlight w:val="none"/>
          <w:lang w:val="en-US" w:eastAsia="zh-CN"/>
        </w:rPr>
        <w:t>9、</w:t>
      </w:r>
      <w:r>
        <w:rPr>
          <w:rFonts w:hint="eastAsia" w:ascii="宋体" w:hAnsi="宋体" w:cs="宋体"/>
          <w:sz w:val="24"/>
          <w:szCs w:val="24"/>
          <w:highlight w:val="none"/>
        </w:rPr>
        <w:t>乙方必须保证甲方统数据安全，做到数据“零丢失”。</w:t>
      </w:r>
    </w:p>
    <w:p w14:paraId="42B01189">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hAnsi="宋体" w:cs="宋体"/>
          <w:sz w:val="24"/>
          <w:szCs w:val="24"/>
          <w:lang w:val="en-US" w:eastAsia="zh-CN"/>
        </w:rPr>
        <w:t>10</w:t>
      </w:r>
      <w:r>
        <w:rPr>
          <w:rFonts w:hint="eastAsia" w:ascii="宋体" w:hAnsi="宋体" w:cs="宋体"/>
          <w:sz w:val="24"/>
          <w:szCs w:val="24"/>
        </w:rPr>
        <w:t>、所有维保项目依据维护要求，按照每日、每周、季度、半年和年度维护的不同需求进行维护，并向甲方提供书面维护报告。甲方对乙方进行季度考核和年度考核，对未达到服务标准的甲方将酌情扣除维护费，并不得竞标下年度维保。</w:t>
      </w:r>
    </w:p>
    <w:p w14:paraId="42E58057">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hAnsi="宋体" w:cs="宋体"/>
          <w:sz w:val="24"/>
          <w:szCs w:val="24"/>
          <w:lang w:val="en-US" w:eastAsia="zh-CN"/>
        </w:rPr>
        <w:t>11</w:t>
      </w:r>
      <w:r>
        <w:rPr>
          <w:rFonts w:hint="eastAsia" w:ascii="宋体" w:hAnsi="宋体" w:cs="宋体"/>
          <w:sz w:val="24"/>
          <w:szCs w:val="24"/>
        </w:rPr>
        <w:t>、网络安全驻场工程师，按照《网络安全法》等相关规定，协助甲方做好安全防护工作。</w:t>
      </w:r>
    </w:p>
    <w:p w14:paraId="6BCFCAA2">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hAnsi="宋体" w:cs="宋体"/>
          <w:sz w:val="24"/>
          <w:szCs w:val="24"/>
          <w:lang w:val="en-US" w:eastAsia="zh-CN"/>
        </w:rPr>
        <w:t>12</w:t>
      </w:r>
      <w:r>
        <w:rPr>
          <w:rFonts w:hint="eastAsia" w:ascii="宋体" w:hAnsi="宋体" w:cs="宋体"/>
          <w:sz w:val="24"/>
          <w:szCs w:val="24"/>
        </w:rPr>
        <w:t>、乙方对于系统故障处理应有详细的报告记录，包含故障原因、响应时间、解决方案以及合理建议等。</w:t>
      </w:r>
    </w:p>
    <w:p w14:paraId="2E9A4485">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hAnsi="宋体" w:cs="宋体"/>
          <w:sz w:val="24"/>
          <w:szCs w:val="24"/>
          <w:lang w:val="en-US" w:eastAsia="zh-CN"/>
        </w:rPr>
        <w:t>13</w:t>
      </w:r>
      <w:r>
        <w:rPr>
          <w:rFonts w:hint="eastAsia" w:ascii="宋体" w:hAnsi="宋体" w:cs="宋体"/>
          <w:sz w:val="24"/>
          <w:szCs w:val="24"/>
        </w:rPr>
        <w:t>、本合同约定的维保技术服务期届满后，乙方向甲方提供延续为期一个月的免费服务作为过渡，保证甲方硬件设备的平稳运行。</w:t>
      </w:r>
    </w:p>
    <w:p w14:paraId="5631EEC9">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七、验收</w:t>
      </w:r>
    </w:p>
    <w:p w14:paraId="0AB7663D">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 xml:space="preserve">(一) </w:t>
      </w:r>
      <w:r>
        <w:rPr>
          <w:rFonts w:hint="eastAsia" w:hAnsi="宋体" w:cs="宋体"/>
          <w:sz w:val="24"/>
          <w:szCs w:val="24"/>
          <w:lang w:val="en-US" w:eastAsia="zh-CN"/>
        </w:rPr>
        <w:t>服务期</w:t>
      </w:r>
      <w:r>
        <w:rPr>
          <w:rFonts w:hint="eastAsia" w:ascii="宋体" w:hAnsi="宋体" w:cs="宋体"/>
          <w:sz w:val="24"/>
          <w:szCs w:val="24"/>
        </w:rPr>
        <w:t>满后，甲方根据磋商文件和响应文件及相关文件，进行验收，确认服务标准和服务方式是否达到采购要求。</w:t>
      </w:r>
    </w:p>
    <w:p w14:paraId="245AB039">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(二)甲方组织乙方(必要时请有关专家)进行验收，验收合格后，填写政府采购项目验收单 (一式伍份)作为对项目的最终认可。</w:t>
      </w:r>
    </w:p>
    <w:p w14:paraId="448DE43B">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(三)乙方向甲方提供维保服务过程中的所有资料,以便甲方人日后管理和维护。</w:t>
      </w:r>
    </w:p>
    <w:p w14:paraId="295ED615">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(四) 验收依据</w:t>
      </w:r>
    </w:p>
    <w:p w14:paraId="559A5EAC">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1、磋商文件、响应文件、澄清表 (函) ；</w:t>
      </w:r>
    </w:p>
    <w:p w14:paraId="594DFD9F">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2、本合同及附件文本；</w:t>
      </w:r>
    </w:p>
    <w:p w14:paraId="463A1F5F">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3、国家相应的标准、规范。</w:t>
      </w:r>
    </w:p>
    <w:p w14:paraId="7B9B6554">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八、违约责任</w:t>
      </w:r>
    </w:p>
    <w:p w14:paraId="7EBD8CA0">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(一) 按《民法典》中的相关条款执行。</w:t>
      </w:r>
    </w:p>
    <w:p w14:paraId="27FCF2B4">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(二) 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 及相关法律法规对乙方的违法行为进行相应的处罚。</w:t>
      </w:r>
    </w:p>
    <w:p w14:paraId="4AE5946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(三) 在本合同履行过程中，双方因违约或造成对方经济、社会效益等损失的应当赔偿。</w:t>
      </w:r>
    </w:p>
    <w:p w14:paraId="3AF0D0BB">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(四) 对本合同任何一条款的违反均视为违约(因不可抗力导致的除外) ，违约方应采取有效措施在至多不超过【5】个工作日内纠正违约行为(自违约情形发生之日起算)，并赔偿守约方因其违约行为而遭受的损失。违约方在违约行为发生后【一个月内】拒不纠正违约行为，守约方有权单方解除合同，合同的解除不影响违约方应承担的违约责任。</w:t>
      </w:r>
    </w:p>
    <w:p w14:paraId="02224934">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五) 乙方在甲方提出</w:t>
      </w:r>
      <w:r>
        <w:rPr>
          <w:rFonts w:hint="eastAsia" w:hAnsi="宋体" w:cs="宋体"/>
          <w:sz w:val="24"/>
          <w:szCs w:val="24"/>
          <w:lang w:val="en-US" w:eastAsia="zh-CN"/>
        </w:rPr>
        <w:t>安全</w:t>
      </w:r>
      <w:r>
        <w:rPr>
          <w:rFonts w:hint="eastAsia" w:ascii="宋体" w:hAnsi="宋体" w:cs="宋体"/>
          <w:sz w:val="24"/>
          <w:szCs w:val="24"/>
        </w:rPr>
        <w:t>故障时，未在本合同约定的响应时间内给予响应或未在约定的时间内派专业人员抵达甲方指定的用户现场提供技术服务的，每迟延一小时，应向甲方支付违约金【壹仟】元人民币。该款项甲方有权从应付乙方的服务费中直接扣除，不足部分，由乙方补足。</w:t>
      </w:r>
    </w:p>
    <w:p w14:paraId="396C14F0">
      <w:pPr>
        <w:widowControl/>
        <w:kinsoku w:val="0"/>
        <w:autoSpaceDE w:val="0"/>
        <w:autoSpaceDN w:val="0"/>
        <w:adjustRightInd w:val="0"/>
        <w:snapToGrid w:val="0"/>
        <w:spacing w:line="360" w:lineRule="auto"/>
        <w:ind w:firstLine="480" w:firstLineChars="200"/>
        <w:textAlignment w:val="baseline"/>
      </w:pPr>
      <w:r>
        <w:rPr>
          <w:rFonts w:hint="eastAsia" w:ascii="宋体" w:hAnsi="宋体" w:cs="宋体"/>
          <w:sz w:val="24"/>
          <w:szCs w:val="24"/>
        </w:rPr>
        <w:t>(六)乙方未在本合同约定的服务时间内完成故障修复工作的，每迟延【 1 】小时，应向甲方支付违约金【壹仟】元人民币，该款项甲方有权从应付乙方的服务费中直接扣除。超过【12】小时的，甲方有权解除本合同，合同自甲方解除通知送时解除。甲方解除合同的，乙方除向甲方承担相应的违约责任外，已收取甲方的款项应全部退还甲方。</w:t>
      </w:r>
    </w:p>
    <w:p w14:paraId="6170756C">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w:t>
      </w:r>
      <w:r>
        <w:rPr>
          <w:rFonts w:hint="eastAsia" w:hAnsi="宋体" w:cs="宋体"/>
          <w:sz w:val="24"/>
          <w:szCs w:val="24"/>
          <w:lang w:val="en-US" w:eastAsia="zh-CN"/>
        </w:rPr>
        <w:t>七</w:t>
      </w:r>
      <w:r>
        <w:rPr>
          <w:rFonts w:hint="eastAsia" w:ascii="宋体" w:hAnsi="宋体" w:cs="宋体"/>
          <w:sz w:val="24"/>
          <w:szCs w:val="24"/>
        </w:rPr>
        <w:t>) 如因乙方提供维保技术服务导致甲方设备、系统损坏的，乙方除赔偿甲方全部经济损失(包括直接损失和间接损失)外，还应向甲方支付【伍万】元人民币的违约金，并退还甲方已支付的全部款项。</w:t>
      </w:r>
    </w:p>
    <w:p w14:paraId="5BD60D10">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w:t>
      </w:r>
      <w:r>
        <w:rPr>
          <w:rFonts w:hint="eastAsia" w:hAnsi="宋体" w:cs="宋体"/>
          <w:sz w:val="24"/>
          <w:szCs w:val="24"/>
          <w:lang w:val="en-US" w:eastAsia="zh-CN"/>
        </w:rPr>
        <w:t>八</w:t>
      </w:r>
      <w:r>
        <w:rPr>
          <w:rFonts w:hint="eastAsia" w:ascii="宋体" w:hAnsi="宋体" w:cs="宋体"/>
          <w:sz w:val="24"/>
          <w:szCs w:val="24"/>
        </w:rPr>
        <w:t>)乙方把甲方数据、软件、用户名、密码、系统结构、网络配置泄露给任何第三方的，应向甲方支付【伍万】元的违约金，给甲方造成损失的，还应赔偿给甲方造成的损失。</w:t>
      </w:r>
    </w:p>
    <w:p w14:paraId="4B6B7FB4">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w:t>
      </w:r>
      <w:r>
        <w:rPr>
          <w:rFonts w:hint="eastAsia" w:hAnsi="宋体" w:cs="宋体"/>
          <w:sz w:val="24"/>
          <w:szCs w:val="24"/>
          <w:lang w:val="en-US" w:eastAsia="zh-CN"/>
        </w:rPr>
        <w:t>九</w:t>
      </w:r>
      <w:r>
        <w:rPr>
          <w:rFonts w:hint="eastAsia" w:ascii="宋体" w:hAnsi="宋体" w:cs="宋体"/>
          <w:sz w:val="24"/>
          <w:szCs w:val="24"/>
        </w:rPr>
        <w:t>)如果甲方因在乙方授权范围内使用乙方提供的软件、文件、资料等，而遭到的第三方就侵犯专利、商标、工业设计或其他知识产权而提出的索赔和诉讼，由乙方承担全部法律后果，如因该等情形导致甲方损失的，乙方应给予甲方全额赔偿。</w:t>
      </w:r>
    </w:p>
    <w:p w14:paraId="6517B94E">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w:t>
      </w:r>
      <w:r>
        <w:rPr>
          <w:rFonts w:hint="eastAsia" w:hAnsi="宋体" w:cs="宋体"/>
          <w:sz w:val="24"/>
          <w:szCs w:val="24"/>
          <w:lang w:val="en-US" w:eastAsia="zh-CN"/>
        </w:rPr>
        <w:t>十</w:t>
      </w:r>
      <w:r>
        <w:rPr>
          <w:rFonts w:hint="eastAsia" w:ascii="宋体" w:hAnsi="宋体" w:cs="宋体"/>
          <w:sz w:val="24"/>
          <w:szCs w:val="24"/>
        </w:rPr>
        <w:t>)若乙方未完全履行本合同所约定的义务，并在接到甲方书面通知30日内仍未予以纠正时，甲方有权单方解除本合同，本合同自甲方解除通知送达之日解除。乙方在接到甲方解除通知后 30 日内须以【转账或支票】的方式退还甲方已支付的全部技术服务费用，甲方未支付的技术服务费不再支付。</w:t>
      </w:r>
    </w:p>
    <w:p w14:paraId="3B8A5F24">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(十</w:t>
      </w:r>
      <w:r>
        <w:rPr>
          <w:rFonts w:hint="eastAsia" w:hAnsi="宋体" w:cs="宋体"/>
          <w:sz w:val="24"/>
          <w:szCs w:val="24"/>
          <w:lang w:val="en-US" w:eastAsia="zh-CN"/>
        </w:rPr>
        <w:t>一</w:t>
      </w:r>
      <w:r>
        <w:rPr>
          <w:rFonts w:hint="eastAsia" w:ascii="宋体" w:hAnsi="宋体" w:cs="宋体"/>
          <w:sz w:val="24"/>
          <w:szCs w:val="24"/>
        </w:rPr>
        <w:t>)一方违反本合同规定，给另一方造成经济损失的，除承担上述违约责任外，违约方还应承担赔偿责任。</w:t>
      </w:r>
    </w:p>
    <w:p w14:paraId="1CE36B02">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九、保密条款</w:t>
      </w:r>
    </w:p>
    <w:p w14:paraId="36B62D0C">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65A37C8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(二) 甲方有义务保护乙方的知识产权，未经乙方同意，不得将乙方交付的具有知识产权性质的成果文件、资料向第三方转让或用于本合同以外的项目。如发生以上情况，乙方有权索赔，但甲方依据相关法 定职责对外公开的除外。</w:t>
      </w:r>
    </w:p>
    <w:p w14:paraId="0D220775">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(三) 本合同的保密信息包括所有商业秘密、技术秘密、通信或与该产品相关的其他信息，无论是书面的、口头的、图形的、电磁的或其它任何形式的信息，包括但不限于：数据、模型、样品、草案、技术、方法、仪器设备和其它信息。</w:t>
      </w:r>
    </w:p>
    <w:p w14:paraId="4A58F44B">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(四) 乙方应当按照甲方的要求采取有效的方法对该保密信息进行保密，所需费用由乙方承担。</w:t>
      </w:r>
    </w:p>
    <w:p w14:paraId="089BBBAF">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(五) 乙方对甲方的数据、软件、用户名、密码、系统结构、网络配置等不得泄露给任何第三方，如有违反，按违约处理。</w:t>
      </w:r>
    </w:p>
    <w:p w14:paraId="2C527A30">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(六) 保密期限：本合同保密期限为永久保密。</w:t>
      </w:r>
    </w:p>
    <w:p w14:paraId="50D572F6">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(七) 本条款为独立条款，本合同的无效、变更、解除和终止均不影响本条款的效力。</w:t>
      </w:r>
    </w:p>
    <w:p w14:paraId="38A8E4AB">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十、争议解决</w:t>
      </w:r>
    </w:p>
    <w:p w14:paraId="70104375">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(一) 本合同在履行过程中发生的争议，由甲、乙双方当事人协商解决，协商不成的按下列第</w:t>
      </w:r>
      <w:r>
        <w:rPr>
          <w:rFonts w:hint="eastAsia" w:ascii="宋体" w:hAnsi="宋体" w:cs="宋体"/>
          <w:sz w:val="24"/>
          <w:szCs w:val="24"/>
          <w:u w:val="single"/>
        </w:rPr>
        <w:t xml:space="preserve">  1  </w:t>
      </w:r>
      <w:r>
        <w:rPr>
          <w:rFonts w:hint="eastAsia" w:ascii="宋体" w:hAnsi="宋体" w:cs="宋体"/>
          <w:sz w:val="24"/>
          <w:szCs w:val="24"/>
        </w:rPr>
        <w:t>种</w:t>
      </w:r>
    </w:p>
    <w:p w14:paraId="4BA56C30">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方式解决：</w:t>
      </w:r>
    </w:p>
    <w:p w14:paraId="41ADBB2B">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1、提交西安仲裁委员会仲裁；</w:t>
      </w:r>
    </w:p>
    <w:p w14:paraId="2247845E">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2、依法向甲方所在地人民法院起诉。</w:t>
      </w:r>
    </w:p>
    <w:p w14:paraId="7C605B9A">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(二) 本条款为独立条款，本合同的无效、变更、解除和终止均不影响本条款的效力。</w:t>
      </w:r>
    </w:p>
    <w:p w14:paraId="0DA7A001">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十一、合同变更</w:t>
      </w:r>
    </w:p>
    <w:p w14:paraId="653C83E3">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 。</w:t>
      </w:r>
    </w:p>
    <w:p w14:paraId="0171A261">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十二、合同生效</w:t>
      </w:r>
    </w:p>
    <w:p w14:paraId="0AF98C03">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1、本合同自签订之日起生效。</w:t>
      </w:r>
    </w:p>
    <w:p w14:paraId="6D35B63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2、本合同一式捌份，甲方持贰份，乙方持贰份，鉴证方持壹份，西安市财政局政府采购管理处备案叁份，本合同甲、乙、鉴证各方签字盖章后生效，合同执行完毕后，自动失效 (合同的服务承诺则长期有效) 。</w:t>
      </w:r>
    </w:p>
    <w:p w14:paraId="1DAEFC2A">
      <w:pPr>
        <w:widowControl/>
        <w:kinsoku w:val="0"/>
        <w:autoSpaceDE w:val="0"/>
        <w:autoSpaceDN w:val="0"/>
        <w:adjustRightInd w:val="0"/>
        <w:snapToGrid w:val="0"/>
        <w:spacing w:line="360" w:lineRule="auto"/>
        <w:textAlignment w:val="baseline"/>
        <w:rPr>
          <w:rFonts w:hint="eastAsia" w:ascii="宋体" w:hAnsi="宋体" w:cs="宋体"/>
          <w:b/>
          <w:bCs/>
          <w:sz w:val="24"/>
          <w:szCs w:val="24"/>
        </w:rPr>
      </w:pPr>
      <w:r>
        <w:rPr>
          <w:rFonts w:hint="eastAsia" w:ascii="宋体" w:hAnsi="宋体" w:cs="宋体"/>
          <w:b/>
          <w:bCs/>
          <w:sz w:val="24"/>
          <w:szCs w:val="24"/>
        </w:rPr>
        <w:t>十三、其他事项</w:t>
      </w:r>
    </w:p>
    <w:p w14:paraId="7F419872">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(一)鉴证方作为采购代理机构对合同进行确认。</w:t>
      </w:r>
    </w:p>
    <w:p w14:paraId="7CC9949E">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(二)西安市财政局政府采购管理处在合同的履行期间以及履行期后，可以随时检查项目的执行情况，对采购标准、采购内容进行调查核实，并对发现的问题进行处理。</w:t>
      </w:r>
    </w:p>
    <w:p w14:paraId="0591EE24">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(三) 竞争性磋商文件、竞争性磋商响应文件、澄清表 (函)、成交通知书、合同附件均成为合同不可分割的部分。</w:t>
      </w:r>
    </w:p>
    <w:p w14:paraId="34872EED">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(四) 合同未尽事宜，由甲、乙双方协商并经鉴证方确认后签订政府采购补充合同，与原合同具有同等法律效力。</w:t>
      </w:r>
    </w:p>
    <w:tbl>
      <w:tblPr>
        <w:tblStyle w:val="4"/>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81"/>
        <w:gridCol w:w="3079"/>
        <w:gridCol w:w="3682"/>
      </w:tblGrid>
      <w:tr w14:paraId="7851D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jc w:val="center"/>
        </w:trPr>
        <w:tc>
          <w:tcPr>
            <w:tcW w:w="3281" w:type="dxa"/>
            <w:noWrap w:val="0"/>
            <w:vAlign w:val="center"/>
          </w:tcPr>
          <w:p w14:paraId="25302506">
            <w:pPr>
              <w:widowControl/>
              <w:kinsoku w:val="0"/>
              <w:autoSpaceDE w:val="0"/>
              <w:autoSpaceDN w:val="0"/>
              <w:adjustRightInd w:val="0"/>
              <w:snapToGrid w:val="0"/>
              <w:spacing w:line="360" w:lineRule="auto"/>
              <w:jc w:val="center"/>
              <w:textAlignment w:val="baseline"/>
              <w:rPr>
                <w:rFonts w:hint="eastAsia" w:ascii="宋体" w:hAnsi="宋体" w:cs="宋体"/>
                <w:sz w:val="24"/>
                <w:szCs w:val="24"/>
              </w:rPr>
            </w:pPr>
            <w:r>
              <w:rPr>
                <w:rFonts w:hint="eastAsia" w:ascii="宋体" w:hAnsi="宋体" w:cs="宋体"/>
                <w:spacing w:val="-2"/>
                <w:sz w:val="24"/>
                <w:szCs w:val="24"/>
              </w:rPr>
              <w:t xml:space="preserve">甲  </w:t>
            </w:r>
            <w:r>
              <w:rPr>
                <w:rFonts w:hint="eastAsia" w:ascii="宋体" w:hAnsi="宋体" w:cs="宋体"/>
                <w:spacing w:val="-1"/>
                <w:sz w:val="24"/>
                <w:szCs w:val="24"/>
              </w:rPr>
              <w:t>方</w:t>
            </w:r>
          </w:p>
        </w:tc>
        <w:tc>
          <w:tcPr>
            <w:tcW w:w="3079" w:type="dxa"/>
            <w:noWrap w:val="0"/>
            <w:vAlign w:val="center"/>
          </w:tcPr>
          <w:p w14:paraId="24EEB472">
            <w:pPr>
              <w:widowControl/>
              <w:kinsoku w:val="0"/>
              <w:autoSpaceDE w:val="0"/>
              <w:autoSpaceDN w:val="0"/>
              <w:adjustRightInd w:val="0"/>
              <w:snapToGrid w:val="0"/>
              <w:spacing w:line="360" w:lineRule="auto"/>
              <w:jc w:val="center"/>
              <w:textAlignment w:val="baseline"/>
              <w:rPr>
                <w:rFonts w:hint="eastAsia" w:ascii="宋体" w:hAnsi="宋体" w:cs="宋体"/>
                <w:sz w:val="24"/>
                <w:szCs w:val="24"/>
              </w:rPr>
            </w:pPr>
            <w:r>
              <w:rPr>
                <w:rFonts w:hint="eastAsia" w:ascii="宋体" w:hAnsi="宋体" w:cs="宋体"/>
                <w:sz w:val="24"/>
                <w:szCs w:val="24"/>
              </w:rPr>
              <w:t>乙  方</w:t>
            </w:r>
          </w:p>
        </w:tc>
        <w:tc>
          <w:tcPr>
            <w:tcW w:w="3682" w:type="dxa"/>
            <w:noWrap w:val="0"/>
            <w:vAlign w:val="center"/>
          </w:tcPr>
          <w:p w14:paraId="5F3AB88E">
            <w:pPr>
              <w:widowControl/>
              <w:kinsoku w:val="0"/>
              <w:autoSpaceDE w:val="0"/>
              <w:autoSpaceDN w:val="0"/>
              <w:adjustRightInd w:val="0"/>
              <w:snapToGrid w:val="0"/>
              <w:spacing w:line="360" w:lineRule="auto"/>
              <w:jc w:val="center"/>
              <w:textAlignment w:val="baseline"/>
              <w:rPr>
                <w:rFonts w:hint="eastAsia" w:ascii="宋体" w:hAnsi="宋体" w:cs="宋体"/>
                <w:sz w:val="24"/>
                <w:szCs w:val="24"/>
              </w:rPr>
            </w:pPr>
            <w:r>
              <w:rPr>
                <w:rFonts w:hint="eastAsia" w:ascii="宋体" w:hAnsi="宋体" w:cs="宋体"/>
                <w:spacing w:val="7"/>
                <w:sz w:val="24"/>
                <w:szCs w:val="24"/>
              </w:rPr>
              <w:t>鉴</w:t>
            </w:r>
            <w:r>
              <w:rPr>
                <w:rFonts w:hint="eastAsia" w:ascii="宋体" w:hAnsi="宋体" w:cs="宋体"/>
                <w:spacing w:val="5"/>
                <w:sz w:val="24"/>
                <w:szCs w:val="24"/>
              </w:rPr>
              <w:t xml:space="preserve"> 证 方</w:t>
            </w:r>
          </w:p>
        </w:tc>
      </w:tr>
      <w:tr w14:paraId="2DEDF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1" w:hRule="atLeast"/>
          <w:jc w:val="center"/>
        </w:trPr>
        <w:tc>
          <w:tcPr>
            <w:tcW w:w="3281" w:type="dxa"/>
            <w:noWrap w:val="0"/>
            <w:vAlign w:val="top"/>
          </w:tcPr>
          <w:p w14:paraId="1CC9DA3A">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4ED28184">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48D80077">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15"/>
                <w:sz w:val="24"/>
                <w:szCs w:val="24"/>
              </w:rPr>
              <w:t>西</w:t>
            </w:r>
            <w:r>
              <w:rPr>
                <w:rFonts w:hint="eastAsia" w:ascii="宋体" w:hAnsi="宋体" w:cs="宋体"/>
                <w:spacing w:val="8"/>
                <w:sz w:val="24"/>
                <w:szCs w:val="24"/>
              </w:rPr>
              <w:t>安住房公积金管理中心</w:t>
            </w:r>
          </w:p>
          <w:p w14:paraId="77E8332C">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77BE66CD">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27C7DCF3">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29"/>
                <w:sz w:val="24"/>
                <w:szCs w:val="24"/>
              </w:rPr>
              <w:t>(</w:t>
            </w:r>
            <w:r>
              <w:rPr>
                <w:rFonts w:hint="eastAsia" w:ascii="宋体" w:hAnsi="宋体" w:cs="宋体"/>
                <w:spacing w:val="27"/>
                <w:sz w:val="24"/>
                <w:szCs w:val="24"/>
              </w:rPr>
              <w:t>盖章)</w:t>
            </w:r>
          </w:p>
        </w:tc>
        <w:tc>
          <w:tcPr>
            <w:tcW w:w="3079" w:type="dxa"/>
            <w:noWrap w:val="0"/>
            <w:vAlign w:val="top"/>
          </w:tcPr>
          <w:p w14:paraId="5E12F004">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5080EB99">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357D8FF5">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212D254A">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59C37BA9">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09AE5536">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29"/>
                <w:sz w:val="24"/>
                <w:szCs w:val="24"/>
              </w:rPr>
              <w:t>(</w:t>
            </w:r>
            <w:r>
              <w:rPr>
                <w:rFonts w:hint="eastAsia" w:ascii="宋体" w:hAnsi="宋体" w:cs="宋体"/>
                <w:spacing w:val="27"/>
                <w:sz w:val="24"/>
                <w:szCs w:val="24"/>
              </w:rPr>
              <w:t>盖章)</w:t>
            </w:r>
          </w:p>
        </w:tc>
        <w:tc>
          <w:tcPr>
            <w:tcW w:w="3682" w:type="dxa"/>
            <w:noWrap w:val="0"/>
            <w:vAlign w:val="top"/>
          </w:tcPr>
          <w:p w14:paraId="34577270">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5C7ECD6C">
            <w:pPr>
              <w:widowControl/>
              <w:kinsoku w:val="0"/>
              <w:autoSpaceDE w:val="0"/>
              <w:autoSpaceDN w:val="0"/>
              <w:adjustRightInd w:val="0"/>
              <w:snapToGrid w:val="0"/>
              <w:spacing w:line="360" w:lineRule="auto"/>
              <w:textAlignment w:val="baseline"/>
              <w:rPr>
                <w:rFonts w:hint="eastAsia" w:ascii="宋体" w:hAnsi="宋体" w:cs="宋体"/>
                <w:sz w:val="24"/>
                <w:szCs w:val="24"/>
              </w:rPr>
            </w:pPr>
          </w:p>
          <w:p w14:paraId="192664E2">
            <w:pPr>
              <w:widowControl/>
              <w:kinsoku w:val="0"/>
              <w:autoSpaceDE w:val="0"/>
              <w:autoSpaceDN w:val="0"/>
              <w:adjustRightInd w:val="0"/>
              <w:snapToGrid w:val="0"/>
              <w:spacing w:line="360" w:lineRule="auto"/>
              <w:textAlignment w:val="baseline"/>
              <w:rPr>
                <w:rFonts w:hint="eastAsia" w:ascii="宋体" w:hAnsi="宋体" w:cs="宋体"/>
                <w:spacing w:val="10"/>
                <w:sz w:val="24"/>
                <w:szCs w:val="24"/>
              </w:rPr>
            </w:pPr>
            <w:r>
              <w:rPr>
                <w:rFonts w:hint="eastAsia" w:ascii="宋体" w:hAnsi="宋体" w:cs="宋体"/>
                <w:spacing w:val="10"/>
                <w:sz w:val="24"/>
                <w:szCs w:val="24"/>
              </w:rPr>
              <w:t>陕西诠睿项目管理有限公司</w:t>
            </w:r>
          </w:p>
          <w:p w14:paraId="06D459B0">
            <w:pPr>
              <w:widowControl/>
              <w:kinsoku w:val="0"/>
              <w:autoSpaceDE w:val="0"/>
              <w:autoSpaceDN w:val="0"/>
              <w:adjustRightInd w:val="0"/>
              <w:snapToGrid w:val="0"/>
              <w:spacing w:line="360" w:lineRule="auto"/>
              <w:textAlignment w:val="baseline"/>
              <w:rPr>
                <w:rFonts w:hint="eastAsia" w:ascii="宋体" w:hAnsi="宋体" w:cs="宋体"/>
                <w:spacing w:val="10"/>
                <w:sz w:val="24"/>
                <w:szCs w:val="24"/>
              </w:rPr>
            </w:pPr>
          </w:p>
          <w:p w14:paraId="2A487583">
            <w:pPr>
              <w:widowControl/>
              <w:kinsoku w:val="0"/>
              <w:autoSpaceDE w:val="0"/>
              <w:autoSpaceDN w:val="0"/>
              <w:adjustRightInd w:val="0"/>
              <w:snapToGrid w:val="0"/>
              <w:spacing w:line="360" w:lineRule="auto"/>
              <w:textAlignment w:val="baseline"/>
              <w:rPr>
                <w:rFonts w:hint="eastAsia" w:ascii="宋体" w:hAnsi="宋体" w:cs="宋体"/>
                <w:spacing w:val="10"/>
                <w:sz w:val="24"/>
                <w:szCs w:val="24"/>
              </w:rPr>
            </w:pPr>
          </w:p>
          <w:p w14:paraId="3590F3EB">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29"/>
                <w:sz w:val="24"/>
                <w:szCs w:val="24"/>
              </w:rPr>
              <w:t>(</w:t>
            </w:r>
            <w:r>
              <w:rPr>
                <w:rFonts w:hint="eastAsia" w:ascii="宋体" w:hAnsi="宋体" w:cs="宋体"/>
                <w:spacing w:val="27"/>
                <w:sz w:val="24"/>
                <w:szCs w:val="24"/>
              </w:rPr>
              <w:t>盖章)</w:t>
            </w:r>
          </w:p>
        </w:tc>
      </w:tr>
      <w:tr w14:paraId="7ADD1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jc w:val="center"/>
        </w:trPr>
        <w:tc>
          <w:tcPr>
            <w:tcW w:w="3281" w:type="dxa"/>
            <w:noWrap w:val="0"/>
            <w:vAlign w:val="top"/>
          </w:tcPr>
          <w:p w14:paraId="13ABAA0C">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2"/>
                <w:sz w:val="24"/>
                <w:szCs w:val="24"/>
              </w:rPr>
              <w:t>地址：</w:t>
            </w:r>
            <w:r>
              <w:rPr>
                <w:rFonts w:hint="eastAsia" w:ascii="宋体" w:hAnsi="宋体" w:cs="宋体"/>
                <w:spacing w:val="-1"/>
                <w:sz w:val="24"/>
                <w:szCs w:val="24"/>
              </w:rPr>
              <w:t>振兴路 137 号</w:t>
            </w:r>
          </w:p>
        </w:tc>
        <w:tc>
          <w:tcPr>
            <w:tcW w:w="3079" w:type="dxa"/>
            <w:noWrap w:val="0"/>
            <w:vAlign w:val="top"/>
          </w:tcPr>
          <w:p w14:paraId="0847AA65">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3"/>
                <w:sz w:val="24"/>
                <w:szCs w:val="24"/>
              </w:rPr>
              <w:t>地址：</w:t>
            </w:r>
          </w:p>
        </w:tc>
        <w:tc>
          <w:tcPr>
            <w:tcW w:w="3682" w:type="dxa"/>
            <w:noWrap w:val="0"/>
            <w:vAlign w:val="top"/>
          </w:tcPr>
          <w:p w14:paraId="33E5FF24">
            <w:pPr>
              <w:widowControl/>
              <w:kinsoku w:val="0"/>
              <w:autoSpaceDE w:val="0"/>
              <w:autoSpaceDN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cs="宋体"/>
                <w:spacing w:val="3"/>
                <w:sz w:val="24"/>
                <w:szCs w:val="24"/>
              </w:rPr>
              <w:t>地址：</w:t>
            </w:r>
            <w:r>
              <w:rPr>
                <w:rFonts w:hint="eastAsia" w:hAnsi="宋体" w:cs="宋体"/>
                <w:sz w:val="24"/>
                <w:szCs w:val="24"/>
                <w:shd w:val="clear" w:color="auto" w:fill="FFFFFF"/>
                <w:lang w:val="en-US" w:eastAsia="zh-CN"/>
              </w:rPr>
              <w:t xml:space="preserve"> </w:t>
            </w:r>
          </w:p>
        </w:tc>
      </w:tr>
      <w:tr w14:paraId="5ED10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jc w:val="center"/>
        </w:trPr>
        <w:tc>
          <w:tcPr>
            <w:tcW w:w="3281" w:type="dxa"/>
            <w:noWrap w:val="0"/>
            <w:vAlign w:val="top"/>
          </w:tcPr>
          <w:p w14:paraId="4A224DC9">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2"/>
                <w:sz w:val="24"/>
                <w:szCs w:val="24"/>
              </w:rPr>
              <w:t>邮编：</w:t>
            </w:r>
          </w:p>
        </w:tc>
        <w:tc>
          <w:tcPr>
            <w:tcW w:w="3079" w:type="dxa"/>
            <w:noWrap w:val="0"/>
            <w:vAlign w:val="top"/>
          </w:tcPr>
          <w:p w14:paraId="6F1B08E1">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4"/>
                <w:sz w:val="24"/>
                <w:szCs w:val="24"/>
              </w:rPr>
              <w:t>邮编：</w:t>
            </w:r>
          </w:p>
        </w:tc>
        <w:tc>
          <w:tcPr>
            <w:tcW w:w="3682" w:type="dxa"/>
            <w:noWrap w:val="0"/>
            <w:vAlign w:val="top"/>
          </w:tcPr>
          <w:p w14:paraId="19499F0B">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2"/>
                <w:sz w:val="24"/>
                <w:szCs w:val="24"/>
              </w:rPr>
              <w:t>邮编：</w:t>
            </w:r>
          </w:p>
        </w:tc>
      </w:tr>
      <w:tr w14:paraId="7D73BB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jc w:val="center"/>
        </w:trPr>
        <w:tc>
          <w:tcPr>
            <w:tcW w:w="3281" w:type="dxa"/>
            <w:noWrap w:val="0"/>
            <w:vAlign w:val="top"/>
          </w:tcPr>
          <w:p w14:paraId="5B241F53">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9"/>
                <w:sz w:val="24"/>
                <w:szCs w:val="24"/>
              </w:rPr>
              <w:t>法</w:t>
            </w:r>
            <w:r>
              <w:rPr>
                <w:rFonts w:hint="eastAsia" w:ascii="宋体" w:hAnsi="宋体" w:cs="宋体"/>
                <w:spacing w:val="6"/>
                <w:sz w:val="24"/>
                <w:szCs w:val="24"/>
              </w:rPr>
              <w:t>定代表人：</w:t>
            </w:r>
          </w:p>
        </w:tc>
        <w:tc>
          <w:tcPr>
            <w:tcW w:w="3079" w:type="dxa"/>
            <w:noWrap w:val="0"/>
            <w:vAlign w:val="top"/>
          </w:tcPr>
          <w:p w14:paraId="34FF433F">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9"/>
                <w:sz w:val="24"/>
                <w:szCs w:val="24"/>
              </w:rPr>
              <w:t>法</w:t>
            </w:r>
            <w:r>
              <w:rPr>
                <w:rFonts w:hint="eastAsia" w:ascii="宋体" w:hAnsi="宋体" w:cs="宋体"/>
                <w:spacing w:val="6"/>
                <w:sz w:val="24"/>
                <w:szCs w:val="24"/>
              </w:rPr>
              <w:t>定代表人：</w:t>
            </w:r>
          </w:p>
        </w:tc>
        <w:tc>
          <w:tcPr>
            <w:tcW w:w="3682" w:type="dxa"/>
            <w:noWrap w:val="0"/>
            <w:vAlign w:val="top"/>
          </w:tcPr>
          <w:p w14:paraId="3A3E62F3">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7"/>
                <w:sz w:val="24"/>
                <w:szCs w:val="24"/>
              </w:rPr>
              <w:t>项</w:t>
            </w:r>
            <w:r>
              <w:rPr>
                <w:rFonts w:hint="eastAsia" w:ascii="宋体" w:hAnsi="宋体" w:cs="宋体"/>
                <w:spacing w:val="6"/>
                <w:sz w:val="24"/>
                <w:szCs w:val="24"/>
              </w:rPr>
              <w:t>目负责人：</w:t>
            </w:r>
          </w:p>
        </w:tc>
      </w:tr>
      <w:tr w14:paraId="44BF7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jc w:val="center"/>
        </w:trPr>
        <w:tc>
          <w:tcPr>
            <w:tcW w:w="3281" w:type="dxa"/>
            <w:noWrap w:val="0"/>
            <w:vAlign w:val="top"/>
          </w:tcPr>
          <w:p w14:paraId="25BF8A7C">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7"/>
                <w:sz w:val="24"/>
                <w:szCs w:val="24"/>
              </w:rPr>
              <w:t>被授权代表</w:t>
            </w:r>
            <w:r>
              <w:rPr>
                <w:rFonts w:hint="eastAsia" w:ascii="宋体" w:hAnsi="宋体" w:cs="宋体"/>
                <w:spacing w:val="5"/>
                <w:sz w:val="24"/>
                <w:szCs w:val="24"/>
              </w:rPr>
              <w:t>：</w:t>
            </w:r>
          </w:p>
        </w:tc>
        <w:tc>
          <w:tcPr>
            <w:tcW w:w="3079" w:type="dxa"/>
            <w:noWrap w:val="0"/>
            <w:vAlign w:val="top"/>
          </w:tcPr>
          <w:p w14:paraId="727FF9CD">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7"/>
                <w:sz w:val="24"/>
                <w:szCs w:val="24"/>
              </w:rPr>
              <w:t>被授权代表</w:t>
            </w:r>
            <w:r>
              <w:rPr>
                <w:rFonts w:hint="eastAsia" w:ascii="宋体" w:hAnsi="宋体" w:cs="宋体"/>
                <w:spacing w:val="5"/>
                <w:sz w:val="24"/>
                <w:szCs w:val="24"/>
              </w:rPr>
              <w:t>：</w:t>
            </w:r>
          </w:p>
        </w:tc>
        <w:tc>
          <w:tcPr>
            <w:tcW w:w="3682" w:type="dxa"/>
            <w:noWrap w:val="0"/>
            <w:vAlign w:val="top"/>
          </w:tcPr>
          <w:p w14:paraId="78E6EB1C">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7"/>
                <w:sz w:val="24"/>
                <w:szCs w:val="24"/>
              </w:rPr>
              <w:t>被授权代表</w:t>
            </w:r>
            <w:r>
              <w:rPr>
                <w:rFonts w:hint="eastAsia" w:ascii="宋体" w:hAnsi="宋体" w:cs="宋体"/>
                <w:spacing w:val="5"/>
                <w:sz w:val="24"/>
                <w:szCs w:val="24"/>
              </w:rPr>
              <w:t>：</w:t>
            </w:r>
          </w:p>
        </w:tc>
      </w:tr>
      <w:tr w14:paraId="09D452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jc w:val="center"/>
        </w:trPr>
        <w:tc>
          <w:tcPr>
            <w:tcW w:w="3281" w:type="dxa"/>
            <w:noWrap w:val="0"/>
            <w:vAlign w:val="top"/>
          </w:tcPr>
          <w:p w14:paraId="188499DA">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5"/>
                <w:sz w:val="24"/>
                <w:szCs w:val="24"/>
              </w:rPr>
              <w:t>电话：</w:t>
            </w:r>
          </w:p>
        </w:tc>
        <w:tc>
          <w:tcPr>
            <w:tcW w:w="3079" w:type="dxa"/>
            <w:noWrap w:val="0"/>
            <w:vAlign w:val="top"/>
          </w:tcPr>
          <w:p w14:paraId="5760103D">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5"/>
                <w:sz w:val="24"/>
                <w:szCs w:val="24"/>
              </w:rPr>
              <w:t>电话：</w:t>
            </w:r>
          </w:p>
        </w:tc>
        <w:tc>
          <w:tcPr>
            <w:tcW w:w="3682" w:type="dxa"/>
            <w:noWrap w:val="0"/>
            <w:vAlign w:val="top"/>
          </w:tcPr>
          <w:p w14:paraId="11FD1B30">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5"/>
                <w:sz w:val="24"/>
                <w:szCs w:val="24"/>
              </w:rPr>
              <w:t>电话：</w:t>
            </w:r>
          </w:p>
        </w:tc>
      </w:tr>
      <w:tr w14:paraId="30D3B0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jc w:val="center"/>
        </w:trPr>
        <w:tc>
          <w:tcPr>
            <w:tcW w:w="3281" w:type="dxa"/>
            <w:noWrap w:val="0"/>
            <w:vAlign w:val="top"/>
          </w:tcPr>
          <w:p w14:paraId="1F668162">
            <w:pPr>
              <w:widowControl/>
              <w:kinsoku w:val="0"/>
              <w:autoSpaceDE w:val="0"/>
              <w:autoSpaceDN w:val="0"/>
              <w:adjustRightInd w:val="0"/>
              <w:snapToGrid w:val="0"/>
              <w:spacing w:line="360" w:lineRule="auto"/>
              <w:textAlignment w:val="baseline"/>
              <w:rPr>
                <w:rFonts w:hint="eastAsia" w:ascii="宋体" w:hAnsi="宋体" w:cs="宋体"/>
                <w:sz w:val="24"/>
                <w:szCs w:val="24"/>
              </w:rPr>
            </w:pPr>
          </w:p>
        </w:tc>
        <w:tc>
          <w:tcPr>
            <w:tcW w:w="3079" w:type="dxa"/>
            <w:noWrap w:val="0"/>
            <w:vAlign w:val="top"/>
          </w:tcPr>
          <w:p w14:paraId="2AB164E6">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8"/>
                <w:sz w:val="24"/>
                <w:szCs w:val="24"/>
              </w:rPr>
              <w:t>开</w:t>
            </w:r>
            <w:r>
              <w:rPr>
                <w:rFonts w:hint="eastAsia" w:ascii="宋体" w:hAnsi="宋体" w:cs="宋体"/>
                <w:spacing w:val="5"/>
                <w:sz w:val="24"/>
                <w:szCs w:val="24"/>
              </w:rPr>
              <w:t>户银行：</w:t>
            </w:r>
          </w:p>
        </w:tc>
        <w:tc>
          <w:tcPr>
            <w:tcW w:w="3682" w:type="dxa"/>
            <w:noWrap w:val="0"/>
            <w:vAlign w:val="top"/>
          </w:tcPr>
          <w:p w14:paraId="4EEDA20C">
            <w:pPr>
              <w:widowControl/>
              <w:kinsoku w:val="0"/>
              <w:autoSpaceDE w:val="0"/>
              <w:autoSpaceDN w:val="0"/>
              <w:adjustRightInd w:val="0"/>
              <w:snapToGrid w:val="0"/>
              <w:spacing w:line="360" w:lineRule="auto"/>
              <w:textAlignment w:val="baseline"/>
              <w:rPr>
                <w:rFonts w:hint="eastAsia" w:ascii="宋体" w:hAnsi="宋体" w:cs="宋体"/>
                <w:sz w:val="24"/>
                <w:szCs w:val="24"/>
              </w:rPr>
            </w:pPr>
          </w:p>
        </w:tc>
      </w:tr>
      <w:tr w14:paraId="7ACD6A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jc w:val="center"/>
        </w:trPr>
        <w:tc>
          <w:tcPr>
            <w:tcW w:w="3281" w:type="dxa"/>
            <w:noWrap w:val="0"/>
            <w:vAlign w:val="top"/>
          </w:tcPr>
          <w:p w14:paraId="5404468E">
            <w:pPr>
              <w:widowControl/>
              <w:kinsoku w:val="0"/>
              <w:autoSpaceDE w:val="0"/>
              <w:autoSpaceDN w:val="0"/>
              <w:adjustRightInd w:val="0"/>
              <w:snapToGrid w:val="0"/>
              <w:spacing w:line="360" w:lineRule="auto"/>
              <w:textAlignment w:val="baseline"/>
              <w:rPr>
                <w:rFonts w:hint="eastAsia" w:ascii="宋体" w:hAnsi="宋体" w:cs="宋体"/>
                <w:sz w:val="24"/>
                <w:szCs w:val="24"/>
              </w:rPr>
            </w:pPr>
          </w:p>
        </w:tc>
        <w:tc>
          <w:tcPr>
            <w:tcW w:w="3079" w:type="dxa"/>
            <w:noWrap w:val="0"/>
            <w:vAlign w:val="top"/>
          </w:tcPr>
          <w:p w14:paraId="670D397C">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2"/>
                <w:sz w:val="24"/>
                <w:szCs w:val="24"/>
              </w:rPr>
              <w:t>账号：</w:t>
            </w:r>
          </w:p>
        </w:tc>
        <w:tc>
          <w:tcPr>
            <w:tcW w:w="3682" w:type="dxa"/>
            <w:noWrap w:val="0"/>
            <w:vAlign w:val="top"/>
          </w:tcPr>
          <w:p w14:paraId="2BD24672">
            <w:pPr>
              <w:widowControl/>
              <w:kinsoku w:val="0"/>
              <w:autoSpaceDE w:val="0"/>
              <w:autoSpaceDN w:val="0"/>
              <w:adjustRightInd w:val="0"/>
              <w:snapToGrid w:val="0"/>
              <w:spacing w:line="360" w:lineRule="auto"/>
              <w:textAlignment w:val="baseline"/>
              <w:rPr>
                <w:rFonts w:hint="eastAsia" w:ascii="宋体" w:hAnsi="宋体" w:cs="宋体"/>
                <w:sz w:val="24"/>
                <w:szCs w:val="24"/>
              </w:rPr>
            </w:pPr>
          </w:p>
        </w:tc>
      </w:tr>
      <w:tr w14:paraId="6B950D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2" w:hRule="atLeast"/>
          <w:jc w:val="center"/>
        </w:trPr>
        <w:tc>
          <w:tcPr>
            <w:tcW w:w="3281" w:type="dxa"/>
            <w:noWrap w:val="0"/>
            <w:vAlign w:val="top"/>
          </w:tcPr>
          <w:p w14:paraId="4B572A64">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1"/>
                <w:sz w:val="24"/>
                <w:szCs w:val="24"/>
              </w:rPr>
              <w:t xml:space="preserve">日期：   </w:t>
            </w:r>
            <w:r>
              <w:rPr>
                <w:rFonts w:hint="eastAsia" w:ascii="宋体" w:hAnsi="宋体" w:cs="宋体"/>
                <w:sz w:val="24"/>
                <w:szCs w:val="24"/>
              </w:rPr>
              <w:t xml:space="preserve"> 年   月   日</w:t>
            </w:r>
          </w:p>
        </w:tc>
        <w:tc>
          <w:tcPr>
            <w:tcW w:w="3079" w:type="dxa"/>
            <w:noWrap w:val="0"/>
            <w:vAlign w:val="top"/>
          </w:tcPr>
          <w:p w14:paraId="50508B5E">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1"/>
                <w:sz w:val="24"/>
                <w:szCs w:val="24"/>
              </w:rPr>
              <w:t xml:space="preserve">日期：   </w:t>
            </w:r>
            <w:r>
              <w:rPr>
                <w:rFonts w:hint="eastAsia" w:ascii="宋体" w:hAnsi="宋体" w:cs="宋体"/>
                <w:sz w:val="24"/>
                <w:szCs w:val="24"/>
              </w:rPr>
              <w:t xml:space="preserve"> 年   月   日</w:t>
            </w:r>
          </w:p>
        </w:tc>
        <w:tc>
          <w:tcPr>
            <w:tcW w:w="3682" w:type="dxa"/>
            <w:noWrap w:val="0"/>
            <w:vAlign w:val="top"/>
          </w:tcPr>
          <w:p w14:paraId="50CA4AF7">
            <w:pPr>
              <w:widowControl/>
              <w:kinsoku w:val="0"/>
              <w:autoSpaceDE w:val="0"/>
              <w:autoSpaceDN w:val="0"/>
              <w:adjustRightInd w:val="0"/>
              <w:snapToGrid w:val="0"/>
              <w:spacing w:line="360" w:lineRule="auto"/>
              <w:textAlignment w:val="baseline"/>
              <w:rPr>
                <w:rFonts w:hint="eastAsia" w:ascii="宋体" w:hAnsi="宋体" w:cs="宋体"/>
                <w:sz w:val="24"/>
                <w:szCs w:val="24"/>
              </w:rPr>
            </w:pPr>
            <w:r>
              <w:rPr>
                <w:rFonts w:hint="eastAsia" w:ascii="宋体" w:hAnsi="宋体" w:cs="宋体"/>
                <w:spacing w:val="1"/>
                <w:sz w:val="24"/>
                <w:szCs w:val="24"/>
              </w:rPr>
              <w:t xml:space="preserve">日期：   年 </w:t>
            </w:r>
            <w:r>
              <w:rPr>
                <w:rFonts w:hint="eastAsia" w:ascii="宋体" w:hAnsi="宋体" w:cs="宋体"/>
                <w:sz w:val="24"/>
                <w:szCs w:val="24"/>
              </w:rPr>
              <w:t xml:space="preserve">   月      日</w:t>
            </w:r>
          </w:p>
        </w:tc>
      </w:tr>
    </w:tbl>
    <w:p w14:paraId="7F25AA50">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4674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A91792">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DA91792">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DBE25B4"/>
    <w:rsid w:val="0DBE25B4"/>
    <w:rsid w:val="26025495"/>
    <w:rsid w:val="276C0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Default"/>
    <w:basedOn w:val="1"/>
    <w:qFormat/>
    <w:uiPriority w:val="0"/>
    <w:pPr>
      <w:autoSpaceDE w:val="0"/>
      <w:autoSpaceDN w:val="0"/>
      <w:adjustRightInd w:val="0"/>
      <w:jc w:val="left"/>
    </w:pPr>
    <w:rPr>
      <w:rFonts w:ascii="宋体" w:hAnsi="Calibri" w:eastAsia="宋体" w:cs="Times New Roman"/>
      <w:color w:val="00000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5595</Words>
  <Characters>5634</Characters>
  <Lines>0</Lines>
  <Paragraphs>0</Paragraphs>
  <TotalTime>0</TotalTime>
  <ScaleCrop>false</ScaleCrop>
  <LinksUpToDate>false</LinksUpToDate>
  <CharactersWithSpaces>5825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2024-06-25T08:27:00Z</dcterms:created>
  <dc:creator>爽爽</dc:creator>
  <cp:lastModifiedBy>花若怜°</cp:lastModifiedBy>
  <dcterms:modified xsi:type="dcterms:W3CDTF">2025-09-10T15:44:04Z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228C7650F4054F09B792209239FD65C6_11</vt:lpwstr>
  </property>
  <property fmtid="{D5CDD505-2E9C-101B-9397-08002B2CF9AE}" pid="4" name="KSOTemplateDocerSaveRecord">
    <vt:lpwstr>eyJoZGlkIjoiMDRhMWMzNzRkMzI5NzQ4NTc5ODlhNjQzNWMyMjNkM2MiLCJ1c2VySWQiOiIyNTc2ODQ5MzkifQ==</vt:lpwstr>
  </property>
</Properties>
</file>