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版本号：ZHPM-ZC-2513220250910001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西安市中小学教师及校园长人工智能应用能力提升培训项目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ZHPM-ZC-25132</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西安市中小学教师及校园长人工智能应用能力提升培训项目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西安市中小学教师及校园长人工智能应用能力提升培训项目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教育强国建设规划纲要（2024—2035年）》，按照教育部等部门《关于加快推进教育数字化的意见》部署及《教育部办公厅关于组织实施数字化赋能教师发展行动的通知》的具体要求，结合陕西省教育数字化转型相关要求，应对人工智能技术快速发展对基础教育变革的深刻影响，特实施本培训项目。当前，人工智能技术正重塑校园治理与教学生态，西安市中小学存在管理团队AI应用规划能力不足、骨干教师技术实操落地难的问题，对智慧校园建设与教学创新提出新挑战。提升教师及校园长人工智能应用能力，是推动智能技术与教、学、评、研深度融合、构建高质量教育体系的关键举措，更是助力西安基础教育数字化转型的重要保障。 培训对象的遴选由西安市教育局下发通知，区县和市直属单位负责具体安排和落实。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采购包1（西安市中小学教师及校园长人工智能应用能力提升培训项目）：属于专门面向中小企业采购。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需提供法定代表人身份证明（含法人身份证复印件），法定代表人委托代理人参加磋商的，需提供法定代表人授权委托书（含法定代表人及代理人身份证复印件）。</w:t>
      </w:r>
    </w:p>
    <w:p>
      <w:pPr>
        <w:pStyle w:val="null3"/>
      </w:pPr>
      <w:r>
        <w:rPr>
          <w:rFonts w:ascii="仿宋_GB2312" w:hAnsi="仿宋_GB2312" w:cs="仿宋_GB2312" w:eastAsia="仿宋_GB2312"/>
        </w:rPr>
        <w:t>2、本项目不接受联合体：本项目不接受联合体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代理服务费收费标准：以政府采购项目中标（成交）金额作为代理服务费计费基数，参照“发改办价格[2003]857号”及“计价格[2002]1980号”文件规定的计费标准收取代理服务费。 银行户名：中昊项目管理有限公司 开户银行：中国民生银行股份有限公司西安枫林绿洲支行 账号：160927203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联系电话：029-89565589</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教育强国建设规划纲要（2024—2035年）》，按照教育部等部门《关于加快推进教育数字化的意见》部署及《教育部办公厅关于组织实施数字化赋能教师发展行动的通知》的具体要求，结合陕西省教育数字化转型相关要求，应对人工智能技术快速发展对基础教育变革的深刻影响，特实施本培训项目。当前，人工智能技术正重塑校园治理与教学生态，西安市中小学存在管理团队AI应用规划能力不足、骨干教师技术实操落地难的问题，对智慧校园建设与教学创新提出新挑战。提升教师及校园长人工智能应用能力，是推动智能技术与教、学、评、研深度融合、构建高质量教育体系的关键举措，更是助力西安基础教育数字化转型的重要保障。 培训对象的遴选由西安市教育局下发通知，区县和市直属单位负责具体安排和落实。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西安市中小学教师及校园长人工智能应用能力提升培训项目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标的名称：西安市中小学教师及校园长人工智能应用能力提升培训项目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一、基本情况</w:t>
            </w:r>
          </w:p>
          <w:p>
            <w:pPr>
              <w:pStyle w:val="null3"/>
              <w:ind w:firstLine="480"/>
              <w:jc w:val="both"/>
            </w:pPr>
            <w:r>
              <w:rPr>
                <w:rFonts w:ascii="仿宋_GB2312" w:hAnsi="仿宋_GB2312" w:cs="仿宋_GB2312" w:eastAsia="仿宋_GB2312"/>
                <w:sz w:val="24"/>
              </w:rPr>
              <w:t>项目名称：西安市中小学教师及校园长人工智能应用能力提升培训项目</w:t>
            </w:r>
          </w:p>
          <w:p>
            <w:pPr>
              <w:pStyle w:val="null3"/>
              <w:ind w:firstLine="480"/>
              <w:jc w:val="both"/>
            </w:pPr>
            <w:r>
              <w:rPr>
                <w:rFonts w:ascii="仿宋_GB2312" w:hAnsi="仿宋_GB2312" w:cs="仿宋_GB2312" w:eastAsia="仿宋_GB2312"/>
                <w:sz w:val="24"/>
              </w:rPr>
              <w:t>预算金额：</w:t>
            </w:r>
            <w:r>
              <w:rPr>
                <w:rFonts w:ascii="仿宋_GB2312" w:hAnsi="仿宋_GB2312" w:cs="仿宋_GB2312" w:eastAsia="仿宋_GB2312"/>
                <w:sz w:val="24"/>
              </w:rPr>
              <w:t>56</w:t>
            </w:r>
            <w:r>
              <w:rPr>
                <w:rFonts w:ascii="仿宋_GB2312" w:hAnsi="仿宋_GB2312" w:cs="仿宋_GB2312" w:eastAsia="仿宋_GB2312"/>
                <w:sz w:val="24"/>
              </w:rPr>
              <w:t>万</w:t>
            </w:r>
          </w:p>
          <w:p>
            <w:pPr>
              <w:pStyle w:val="null3"/>
              <w:numPr>
                <w:ilvl w:val="0"/>
                <w:numId w:val="1"/>
              </w:numPr>
              <w:jc w:val="both"/>
            </w:pPr>
            <w:r>
              <w:rPr>
                <w:rFonts w:ascii="仿宋_GB2312" w:hAnsi="仿宋_GB2312" w:cs="仿宋_GB2312" w:eastAsia="仿宋_GB2312"/>
                <w:sz w:val="24"/>
              </w:rPr>
              <w:t>项目实施背景和依据</w:t>
            </w:r>
          </w:p>
          <w:p>
            <w:pPr>
              <w:pStyle w:val="null3"/>
              <w:ind w:firstLine="480"/>
              <w:jc w:val="both"/>
            </w:pPr>
            <w:r>
              <w:rPr>
                <w:rFonts w:ascii="仿宋_GB2312" w:hAnsi="仿宋_GB2312" w:cs="仿宋_GB2312" w:eastAsia="仿宋_GB2312"/>
                <w:sz w:val="24"/>
              </w:rPr>
              <w:t>为深入贯彻落实《教育强国建设规划纲要（</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2035</w:t>
            </w:r>
            <w:r>
              <w:rPr>
                <w:rFonts w:ascii="仿宋_GB2312" w:hAnsi="仿宋_GB2312" w:cs="仿宋_GB2312" w:eastAsia="仿宋_GB2312"/>
                <w:sz w:val="24"/>
              </w:rPr>
              <w:t>年）》，按照教育部等部门《关于加快推进教育数字化的意见》部署及《教育部办公厅关于组织实施数字化赋能教师发展行动的通知》的具体要求，结合陕西省教育数字化转型相关要求，应对人工智能技术快速发展对基础教育变革的深刻影响，特实施本培训项目。当前，人工智能技术正重塑校园治理与教学生态，西安市中小学存在管理团队</w:t>
            </w:r>
            <w:r>
              <w:rPr>
                <w:rFonts w:ascii="仿宋_GB2312" w:hAnsi="仿宋_GB2312" w:cs="仿宋_GB2312" w:eastAsia="仿宋_GB2312"/>
                <w:sz w:val="24"/>
              </w:rPr>
              <w:t>AI</w:t>
            </w:r>
            <w:r>
              <w:rPr>
                <w:rFonts w:ascii="仿宋_GB2312" w:hAnsi="仿宋_GB2312" w:cs="仿宋_GB2312" w:eastAsia="仿宋_GB2312"/>
                <w:sz w:val="24"/>
              </w:rPr>
              <w:t>应用规划能力不足、骨干教师技术实操落地难的问题，对智慧校园建设与教学创新提出新挑战。提升教师及校园长人工智能应用能力，是推动智能技术与教、学、评、研深度融合、构建高质量教育体系的关键举措，更是助力西安基础教育数字化转型的重要保障。</w:t>
            </w:r>
          </w:p>
          <w:p>
            <w:pPr>
              <w:pStyle w:val="null3"/>
              <w:ind w:firstLine="480"/>
              <w:jc w:val="both"/>
            </w:pPr>
            <w:r>
              <w:rPr>
                <w:rFonts w:ascii="仿宋_GB2312" w:hAnsi="仿宋_GB2312" w:cs="仿宋_GB2312" w:eastAsia="仿宋_GB2312"/>
                <w:sz w:val="24"/>
              </w:rPr>
              <w:t>培训对象的遴选由西安市教育局下发通知，区县和市直属单位负责具体安排和落实。</w:t>
            </w:r>
          </w:p>
          <w:p>
            <w:pPr>
              <w:pStyle w:val="null3"/>
              <w:jc w:val="both"/>
            </w:pPr>
            <w:r>
              <w:rPr>
                <w:rFonts w:ascii="仿宋_GB2312" w:hAnsi="仿宋_GB2312" w:cs="仿宋_GB2312" w:eastAsia="仿宋_GB2312"/>
                <w:sz w:val="24"/>
              </w:rPr>
              <w:t>三、项目经费预算</w:t>
            </w:r>
          </w:p>
          <w:p>
            <w:pPr>
              <w:pStyle w:val="null3"/>
              <w:ind w:firstLine="480"/>
              <w:jc w:val="both"/>
            </w:pPr>
            <w:r>
              <w:rPr>
                <w:rFonts w:ascii="仿宋_GB2312" w:hAnsi="仿宋_GB2312" w:cs="仿宋_GB2312" w:eastAsia="仿宋_GB2312"/>
                <w:sz w:val="24"/>
              </w:rPr>
              <w:t>西安市中小学教师及校园长人工智能应用能力提升培训项目。</w:t>
            </w:r>
          </w:p>
          <w:p>
            <w:pPr>
              <w:pStyle w:val="null3"/>
              <w:ind w:firstLine="480"/>
              <w:jc w:val="both"/>
            </w:pPr>
            <w:r>
              <w:rPr>
                <w:rFonts w:ascii="仿宋_GB2312" w:hAnsi="仿宋_GB2312" w:cs="仿宋_GB2312" w:eastAsia="仿宋_GB2312"/>
                <w:sz w:val="24"/>
              </w:rPr>
              <w:t>培训人数：</w:t>
            </w:r>
            <w:r>
              <w:rPr>
                <w:rFonts w:ascii="仿宋_GB2312" w:hAnsi="仿宋_GB2312" w:cs="仿宋_GB2312" w:eastAsia="仿宋_GB2312"/>
                <w:sz w:val="24"/>
              </w:rPr>
              <w:t>400</w:t>
            </w:r>
            <w:r>
              <w:rPr>
                <w:rFonts w:ascii="仿宋_GB2312" w:hAnsi="仿宋_GB2312" w:cs="仿宋_GB2312" w:eastAsia="仿宋_GB2312"/>
                <w:sz w:val="24"/>
              </w:rPr>
              <w:t>人；</w:t>
            </w:r>
          </w:p>
          <w:p>
            <w:pPr>
              <w:pStyle w:val="null3"/>
              <w:ind w:firstLine="480"/>
              <w:jc w:val="both"/>
            </w:pPr>
            <w:r>
              <w:rPr>
                <w:rFonts w:ascii="仿宋_GB2312" w:hAnsi="仿宋_GB2312" w:cs="仿宋_GB2312" w:eastAsia="仿宋_GB2312"/>
                <w:sz w:val="24"/>
              </w:rPr>
              <w:t>培训时长：</w:t>
            </w:r>
            <w:r>
              <w:rPr>
                <w:rFonts w:ascii="仿宋_GB2312" w:hAnsi="仿宋_GB2312" w:cs="仿宋_GB2312" w:eastAsia="仿宋_GB2312"/>
                <w:sz w:val="24"/>
              </w:rPr>
              <w:t>3</w:t>
            </w:r>
            <w:r>
              <w:rPr>
                <w:rFonts w:ascii="仿宋_GB2312" w:hAnsi="仿宋_GB2312" w:cs="仿宋_GB2312" w:eastAsia="仿宋_GB2312"/>
                <w:sz w:val="24"/>
              </w:rPr>
              <w:t>天；</w:t>
            </w:r>
          </w:p>
          <w:p>
            <w:pPr>
              <w:pStyle w:val="null3"/>
              <w:ind w:firstLine="480"/>
              <w:jc w:val="both"/>
            </w:pPr>
            <w:r>
              <w:rPr>
                <w:rFonts w:ascii="仿宋_GB2312" w:hAnsi="仿宋_GB2312" w:cs="仿宋_GB2312" w:eastAsia="仿宋_GB2312"/>
                <w:sz w:val="24"/>
              </w:rPr>
              <w:t>合计：</w:t>
            </w:r>
            <w:r>
              <w:rPr>
                <w:rFonts w:ascii="仿宋_GB2312" w:hAnsi="仿宋_GB2312" w:cs="仿宋_GB2312" w:eastAsia="仿宋_GB2312"/>
                <w:sz w:val="24"/>
              </w:rPr>
              <w:t>560000</w:t>
            </w:r>
            <w:r>
              <w:rPr>
                <w:rFonts w:ascii="仿宋_GB2312" w:hAnsi="仿宋_GB2312" w:cs="仿宋_GB2312" w:eastAsia="仿宋_GB2312"/>
                <w:sz w:val="24"/>
              </w:rPr>
              <w:t>元。</w:t>
            </w:r>
          </w:p>
          <w:p>
            <w:pPr>
              <w:pStyle w:val="null3"/>
              <w:jc w:val="both"/>
            </w:pPr>
            <w:r>
              <w:rPr>
                <w:rFonts w:ascii="仿宋_GB2312" w:hAnsi="仿宋_GB2312" w:cs="仿宋_GB2312" w:eastAsia="仿宋_GB2312"/>
                <w:sz w:val="24"/>
              </w:rPr>
              <w:t>四、项目需求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培训对象：中小学校级管理团队、骨干教师等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培训人数：</w:t>
            </w:r>
            <w:r>
              <w:rPr>
                <w:rFonts w:ascii="仿宋_GB2312" w:hAnsi="仿宋_GB2312" w:cs="仿宋_GB2312" w:eastAsia="仿宋_GB2312"/>
                <w:sz w:val="24"/>
              </w:rPr>
              <w:t>400</w:t>
            </w:r>
            <w:r>
              <w:rPr>
                <w:rFonts w:ascii="仿宋_GB2312" w:hAnsi="仿宋_GB2312" w:cs="仿宋_GB2312" w:eastAsia="仿宋_GB2312"/>
                <w:sz w:val="24"/>
              </w:rPr>
              <w:t>人，分批开展</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培训时间：</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日之前</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培训形式：集中培训</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培训内容：学校管理团队：聚焦人工智能在校园管理、育人领域的应用，涵盖智慧校园建设规划、</w:t>
            </w:r>
            <w:r>
              <w:rPr>
                <w:rFonts w:ascii="仿宋_GB2312" w:hAnsi="仿宋_GB2312" w:cs="仿宋_GB2312" w:eastAsia="仿宋_GB2312"/>
                <w:sz w:val="24"/>
              </w:rPr>
              <w:t>AI</w:t>
            </w:r>
            <w:r>
              <w:rPr>
                <w:rFonts w:ascii="仿宋_GB2312" w:hAnsi="仿宋_GB2312" w:cs="仿宋_GB2312" w:eastAsia="仿宋_GB2312"/>
                <w:sz w:val="24"/>
              </w:rPr>
              <w:t>驱动的智慧管理、人工智能助推教师队伍建设等内容，指导制定学校人工智能应用推进方案。</w:t>
            </w:r>
          </w:p>
          <w:p>
            <w:pPr>
              <w:pStyle w:val="null3"/>
              <w:ind w:firstLine="480"/>
              <w:jc w:val="both"/>
            </w:pPr>
            <w:r>
              <w:rPr>
                <w:rFonts w:ascii="仿宋_GB2312" w:hAnsi="仿宋_GB2312" w:cs="仿宋_GB2312" w:eastAsia="仿宋_GB2312"/>
                <w:sz w:val="24"/>
              </w:rPr>
              <w:t>信息技术骨干教师：围绕人工智能在教、学、评、研中的实操应用，包括</w:t>
            </w:r>
            <w:r>
              <w:rPr>
                <w:rFonts w:ascii="仿宋_GB2312" w:hAnsi="仿宋_GB2312" w:cs="仿宋_GB2312" w:eastAsia="仿宋_GB2312"/>
                <w:sz w:val="24"/>
              </w:rPr>
              <w:t>AI</w:t>
            </w:r>
            <w:r>
              <w:rPr>
                <w:rFonts w:ascii="仿宋_GB2312" w:hAnsi="仿宋_GB2312" w:cs="仿宋_GB2312" w:eastAsia="仿宋_GB2312"/>
                <w:sz w:val="24"/>
              </w:rPr>
              <w:t>教学工具使用、智能备课与课堂设计、学生学习数据精准分析、基于</w:t>
            </w:r>
            <w:r>
              <w:rPr>
                <w:rFonts w:ascii="仿宋_GB2312" w:hAnsi="仿宋_GB2312" w:cs="仿宋_GB2312" w:eastAsia="仿宋_GB2312"/>
                <w:sz w:val="24"/>
              </w:rPr>
              <w:t>AI</w:t>
            </w:r>
            <w:r>
              <w:rPr>
                <w:rFonts w:ascii="仿宋_GB2312" w:hAnsi="仿宋_GB2312" w:cs="仿宋_GB2312" w:eastAsia="仿宋_GB2312"/>
                <w:sz w:val="24"/>
              </w:rPr>
              <w:t>的教研创新等，提升技术落地能力。</w:t>
            </w:r>
          </w:p>
          <w:p>
            <w:pPr>
              <w:pStyle w:val="null3"/>
              <w:jc w:val="both"/>
            </w:pPr>
            <w:r>
              <w:rPr>
                <w:rFonts w:ascii="仿宋_GB2312" w:hAnsi="仿宋_GB2312" w:cs="仿宋_GB2312" w:eastAsia="仿宋_GB2312"/>
                <w:sz w:val="24"/>
              </w:rPr>
              <w:t>五、服务要求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聚焦培训主题</w:t>
            </w:r>
          </w:p>
          <w:p>
            <w:pPr>
              <w:pStyle w:val="null3"/>
              <w:ind w:firstLine="480"/>
              <w:jc w:val="both"/>
            </w:pPr>
            <w:r>
              <w:rPr>
                <w:rFonts w:ascii="仿宋_GB2312" w:hAnsi="仿宋_GB2312" w:cs="仿宋_GB2312" w:eastAsia="仿宋_GB2312"/>
                <w:sz w:val="24"/>
              </w:rPr>
              <w:t>认真研读教育部、省教育厅关于中小学人工智能教育推进及教师人工智能应用能力提升的文件要求，遵循学校管理团队、信息技术骨干教师的成长规律与岗位需求，以解决学校人工智能应用痛点、提升参训人员</w:t>
            </w:r>
            <w:r>
              <w:rPr>
                <w:rFonts w:ascii="仿宋_GB2312" w:hAnsi="仿宋_GB2312" w:cs="仿宋_GB2312" w:eastAsia="仿宋_GB2312"/>
                <w:sz w:val="24"/>
              </w:rPr>
              <w:t>AI</w:t>
            </w:r>
            <w:r>
              <w:rPr>
                <w:rFonts w:ascii="仿宋_GB2312" w:hAnsi="仿宋_GB2312" w:cs="仿宋_GB2312" w:eastAsia="仿宋_GB2312"/>
                <w:sz w:val="24"/>
              </w:rPr>
              <w:t>实践能力为项目设计的出发点和落脚点，突出问题导向和成果导向，聚焦两类参训群体应具备的人工智能核心素养与关键能力，分层构建培训课程体系，坚持应用为本，确保参训人员有成长感和获得感。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完善教师培训内容</w:t>
            </w:r>
          </w:p>
          <w:p>
            <w:pPr>
              <w:pStyle w:val="null3"/>
              <w:ind w:firstLine="480"/>
              <w:jc w:val="both"/>
            </w:pPr>
            <w:r>
              <w:rPr>
                <w:rFonts w:ascii="仿宋_GB2312" w:hAnsi="仿宋_GB2312" w:cs="仿宋_GB2312" w:eastAsia="仿宋_GB2312"/>
                <w:sz w:val="24"/>
              </w:rPr>
              <w:t>立足中小学人工智能教育发展实际及参训人员岗位职能，有针对性地设置培训课程，少理论讲解、重实践操作，注重智能校园规划方法、AI教学工具实操、学情智能分析等核心内容，加大具备中小学人工智能教育实战经验的一线专家授课比例。</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创新教师培训模式</w:t>
            </w:r>
          </w:p>
          <w:p>
            <w:pPr>
              <w:pStyle w:val="null3"/>
              <w:ind w:firstLine="480"/>
              <w:jc w:val="both"/>
            </w:pPr>
            <w:r>
              <w:rPr>
                <w:rFonts w:ascii="仿宋_GB2312" w:hAnsi="仿宋_GB2312" w:cs="仿宋_GB2312" w:eastAsia="仿宋_GB2312"/>
                <w:sz w:val="24"/>
              </w:rPr>
              <w:t>要将互联网、人工智能、虚拟现实等新技术融合运用到培训中，结合</w:t>
            </w:r>
            <w:r>
              <w:rPr>
                <w:rFonts w:ascii="仿宋_GB2312" w:hAnsi="仿宋_GB2312" w:cs="仿宋_GB2312" w:eastAsia="仿宋_GB2312"/>
                <w:sz w:val="24"/>
              </w:rPr>
              <w:t>3</w:t>
            </w:r>
            <w:r>
              <w:rPr>
                <w:rFonts w:ascii="仿宋_GB2312" w:hAnsi="仿宋_GB2312" w:cs="仿宋_GB2312" w:eastAsia="仿宋_GB2312"/>
                <w:sz w:val="24"/>
              </w:rPr>
              <w:t>天集中培训，实施“线上预习</w:t>
            </w:r>
            <w:r>
              <w:rPr>
                <w:rFonts w:ascii="仿宋_GB2312" w:hAnsi="仿宋_GB2312" w:cs="仿宋_GB2312" w:eastAsia="仿宋_GB2312"/>
                <w:sz w:val="24"/>
              </w:rPr>
              <w:t>+</w:t>
            </w:r>
            <w:r>
              <w:rPr>
                <w:rFonts w:ascii="仿宋_GB2312" w:hAnsi="仿宋_GB2312" w:cs="仿宋_GB2312" w:eastAsia="仿宋_GB2312"/>
                <w:sz w:val="24"/>
              </w:rPr>
              <w:t>线下集中研修</w:t>
            </w:r>
            <w:r>
              <w:rPr>
                <w:rFonts w:ascii="仿宋_GB2312" w:hAnsi="仿宋_GB2312" w:cs="仿宋_GB2312" w:eastAsia="仿宋_GB2312"/>
                <w:sz w:val="24"/>
              </w:rPr>
              <w:t>+</w:t>
            </w:r>
            <w:r>
              <w:rPr>
                <w:rFonts w:ascii="仿宋_GB2312" w:hAnsi="仿宋_GB2312" w:cs="仿宋_GB2312" w:eastAsia="仿宋_GB2312"/>
                <w:sz w:val="24"/>
              </w:rPr>
              <w:t>训后线上答疑”相结合，训前需求调研、训中实时互动指导、训后成果跟踪相统一的混合式研修模式，增强培训的互动性与实效性。</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实施培训效果评估。</w:t>
            </w:r>
          </w:p>
          <w:p>
            <w:pPr>
              <w:pStyle w:val="null3"/>
              <w:ind w:firstLine="480"/>
            </w:pPr>
            <w:r>
              <w:rPr>
                <w:rFonts w:ascii="仿宋_GB2312" w:hAnsi="仿宋_GB2312" w:cs="仿宋_GB2312" w:eastAsia="仿宋_GB2312"/>
                <w:sz w:val="24"/>
              </w:rPr>
              <w:t>按照项目要求，择优提供培训成果案例，通过分组成果汇报、参训人员培训反思提交等多种形式呈现培训效果，并将培训效果相关材料于培训结束一个月内提供给甲方，作为评估培训效果的重要依据。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合同履行完毕并经验收合格，收到供应商开具的发票后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法定代表人直接参加磋商的，需提供法定代表人身份证明（含法人身份证复印件），法定代表人委托代理人参加磋商的，需提供法定代表人授权委托书（含法定代表人及代理人身份证复印件）。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商务、服务、技术条款偏离表.docx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商务、服务、技术条款偏离表.docx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1.能清晰、准确把握培训目标、对象特点、核心需求及政策导向，并深度融入政策要求，分层分类精准分析对象需求，计15分。 2.能清晰、准确把握培训目标、对象特点、核心需求及政策导向，基本融入政策要求，分层分类分析对象需求，计12分。 3.基本能够把握培训目标、对象特点、核心需求及政策导向，部分提及政策要求，培训对象需求分析基本覆盖，计9分。 4.基本理解培训目标、对象特点、核心需求及政策导向，未体现政策要求，培训对象需求分析覆盖不全，计6分。 5.培训目标、对象特点、核心需求及政策导向理解不清晰，未体现政策要求，未针对各类培训对象需求进行分析，计3分。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1.方案完整科学，内容紧扣培训主题；培训课程针对性强；创新培训模式，课程安排合理高效；组织培训师资力量强大，能有效整合研修资源；突出实践性、针对性、操作性，创新性；计20分。 2.方案较为完整科学，内容符合核心需求；培训课程针对性较强；培训模式较为创新，课程安排较合理；组织培训师资力量较强大，能整合研修资源；具有实践性、针对性、操作性、创新性；计16分。 3.方案较为完整，内容基本满足核心需求；培训课程针对性较强；培训模式重复，课程安排不够合理；组织培训师资力量较弱，研修资源整合能力较弱；基本体现实践性、针对性、操作性；计12分。 4.方案基本可行，内容基本满足需求；培训课程针对性一般；培训模式单一、课程安排不够合理；组织培训师资力量弱，研修资源整合能力弱；基本体现实践性、操作性；计8分。 5.方案基本可行，内容模糊；培训课程缺乏针对性；培训模式单一、安排存在漏洞；未提供培训师资力量介绍；缺乏实践性、操作性；计4分。 6.本项不提供的，不得分。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1.拟投入本项目的项目团队说明清晰、全面；组织结构合理性强，小组分工明确，能切实保障各培训项目的有效开展；人员专业配备全面、合理，项目团队能够充分保证项目实施进度与质量；计15分。 2.拟投入本项目的项目团队说明较为清晰、全面；组织结构合理，小组分工较明确，能保障各培训项目按要求开展；人员专业配备较全面，项目团队能够保证项目实施进度与质量；计12分。 3.拟投入本项目的项目团队说明基本清晰、全面；组织结构较合理，小组分工不明确，基本能保障各培训项目按要求开展；人员专业配备基本满足，项目团队基本能够保证项目实施进度与质量；计9分。 4.拟投入本项目的项目团队说明不够清晰、全面；组织结构合理性较弱，小组分工未做说明，基本保障培训项目开展；人员专业配备不足，项目团队基本能够保证项目实施进度与质量；计6分。 5.拟投入本项目的项目团队说明模糊；组织结构及小组分工未做说明；人员专业配备未做特别说明，项目团队较难保证项目实施进度与质量；计3分。 6.本项不提供的，不得分。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培训场地及设施安排</w:t>
            </w:r>
          </w:p>
        </w:tc>
        <w:tc>
          <w:tcPr>
            <w:tcW w:type="dxa" w:w="2492"/>
          </w:tcPr>
          <w:p>
            <w:pPr>
              <w:pStyle w:val="null3"/>
            </w:pPr>
            <w:r>
              <w:rPr>
                <w:rFonts w:ascii="仿宋_GB2312" w:hAnsi="仿宋_GB2312" w:cs="仿宋_GB2312" w:eastAsia="仿宋_GB2312"/>
              </w:rPr>
              <w:t>1.拟提供培训场地及设施说明清晰、全面；提供自有或租用的教学培训场地、实操场地及食宿场地的相关说明全面；拟提供场地条件完备，培训设施设备完善；计10分。 2.拟提供培训场地及设施说明较为清晰、全面；提供自有或租用的教学培训场地、实操场地及食宿场地的相关说明较为全面；拟提供场地条件较完备，培训设施设备较完善；计8分。 3.拟提供培训场地及设施说明基本清晰、全面；提供自有或租用的教学培训场地、实操场地及食宿场地的相关说明基本全面；拟提供场地条件较基本完备，培训设施设备基本完善；计6分。 4.拟提供培训场地及设施说明不够清晰；提供自有或租用的教学培训场地、实操场地及食宿场地的相关说明不全面；拟提供场地条件不完备，培训设施设备不完善；计4分。 5.拟提供培训场地及设施说明模糊；提供自有或租用的教学培训场地、实操场地及食宿场地的相关说明不合理；拟提供场地条件差、培训设施设备欠缺；计2分。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1.提供内容完整，项目实施进度计划详实可行；方案内容完备，合理性、可行性强，阶段清晰分明；因不可抗力而无法举行培训的富余时间充足；计10分。 2.提供内容较完整，项目实施进度计划较详实可行；方案内容较完备，合理性、可行性，阶段较清晰；因不可抗力而无法举行培训的富余时间较充足；计8分。 提供内容基本完整，项目实施进度计划基本详实可行；方案内容基本完善，基本合理，阶段划分基本清晰；因不可抗力而无法举行培训的富余时间基本满足项目要求；计6分。 提供内容不够完整，项目实施进度计划可行性较差；方案内容片面，合理性较弱，阶段划分模糊；因不可抗力而无法举行培训的富余时间紧张；计4分。 提供内容面模糊、项目实施进度计划差；方案内容不完备，不合理可行，阶段不清晰；未预留因不可抗力而无法举行培训的富余时间；计2分。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1.具有健全的质量保障方案，方案科学合理，可行性强，针对性强；有科学合理的质量保障监督方案、效果评估方案；应急预案和相应处理措施合理可行；计10分。 2.质量保障方案较健全，方案较科学合理，可行性较强，针对性较强；有科学合理的质量保障监督方案、但效果评估方案较合理；应急预案和相应处理措施较合理可行；计8分。 3.质量保障方案基本健全，方案基本可行，可行性一般，针对性一般；质量保障监督方案、效果评估方案均基本合理；应急预案和相应处理措施基本合理可行；计6分。 4.质量保障方案模糊，可行性、针对性较弱；质量保障监督方案、效果评估方案均一般合理；应急预案和相应处理措施一般合理可行；计4分。 5.质量保障方案差，可行性、针对性弱；未提供质量保障监督方案或效果评估方案；未提供应急预案和相应处理措施；计2分。 6.本项不提供的，不得分。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截至本项目开标之日的类似的业绩（以合同签订时间为准），每提供1个，计2分；最高得10分。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