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版本号：ZHPM-ZC-2513320250910001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西安市中小学教师及校园长学科教研员业务能力提升培训项目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ZHPM-ZC-25133</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中昊项目管理有限公司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中昊项目管理有限公司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西安市中小学教师及校园长学科教研员业务能力提升培训项目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ZHPM-ZC-25133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西安市中小学教师及校园长学科教研员业务能力提升培训项目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数字化时代浪潮下，提升全民数字素养已成为国家发展的重要战略任务。加强中小学学科教研员的数字素养，是顺应教育数字化转型趋势的必然要求，是推动基础教育高质量发展的关键举措，是培养适应时代需求创新人才的重要支撑。以国家关于推进教育数字化、提升师生数字素养与技能的相关政策为指引，旨在全面提升中小学学科教研员的数字素养。助力其打造具备前沿数字教育理念、熟练掌握数字化教学与教研工具及方法的能力体系，使其成为引领教育数字化变革的“先锋官”。 培训对象的遴选由西安市教育局下发通知，区县和市直属单位负责具体安排和落实。</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采购包1（西安市中小学教师及校园长学科教研员业务能力提升）：属于专门面向中小企业采购。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需提供法定代表人身份证明（含法人身份证复印件），法定代表人委托代理人参加磋商的，需提供法定代表人授权委托书（含法定代表人及代理人身份证复印件）。</w:t>
      </w:r>
    </w:p>
    <w:p>
      <w:pPr>
        <w:pStyle w:val="null3"/>
      </w:pPr>
      <w:r>
        <w:rPr>
          <w:rFonts w:ascii="仿宋_GB2312" w:hAnsi="仿宋_GB2312" w:cs="仿宋_GB2312" w:eastAsia="仿宋_GB2312"/>
        </w:rPr>
        <w:t>2、本项目不接受联合体：本项目不接受联合体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西安市高新区丈八街办团结南路35号高新新天地2号楼2402室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代理服务费收费标准：以政府采购项目中标（成交）金额作为代理服务费计费基数，参照“发改办价格[2003]857号”及“计价格[2002]1980号”文件规定的计费标准收取代理服务费。 银行户名：中昊项目管理有限公司 开户银行：中国民生银行股份有限公司西安枫林绿洲支行 账号：160927203 备注：项目编号+采购包号+代理服务费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中昊项目管理有限公司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符合国家相关标准和磋商文件及磋商响应文件承诺的相关内容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联系人：薛工</w:t>
      </w:r>
    </w:p>
    <w:p>
      <w:pPr>
        <w:pStyle w:val="null3"/>
      </w:pPr>
      <w:r>
        <w:rPr>
          <w:rFonts w:ascii="仿宋_GB2312" w:hAnsi="仿宋_GB2312" w:cs="仿宋_GB2312" w:eastAsia="仿宋_GB2312"/>
        </w:rPr>
        <w:t>联系电话：029-89565589</w:t>
      </w:r>
    </w:p>
    <w:p>
      <w:pPr>
        <w:pStyle w:val="null3"/>
      </w:pPr>
      <w:r>
        <w:rPr>
          <w:rFonts w:ascii="仿宋_GB2312" w:hAnsi="仿宋_GB2312" w:cs="仿宋_GB2312" w:eastAsia="仿宋_GB2312"/>
        </w:rPr>
        <w:t>地址：西安市高新区丈八街办团结南路35号高新新天地2号楼2402室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数字化时代浪潮下，提升全民数字素养已成为国家发展的重要战略任务。加强中小学学科教研员的数字素养，是顺应教育数字化转型趋势的必然要求，是推动基础教育高质量发展的关键举措，是培养适应时代需求创新人才的重要支撑。以国家关于推进教育数字化、提升师生数字素养与技能的相关政策为指引，旨在全面提升中小学学科教研员的数字素养。助力其打造具备前沿数字教育理念、熟练掌握数字化教学与教研工具及方法的能力体系，使其成为引领教育数字化变革的“先锋官”。 培训对象的遴选由西安市教育局下发通知，区县和市直属单位负责具体安排和落实。</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西安市中小学教师及校园长学科教研员业务能力提升培训项目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项目</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标的名称：西安市中小学教师及校园长学科教研员业务能力提升培训项目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一、基本情况</w:t>
            </w:r>
          </w:p>
          <w:p>
            <w:pPr>
              <w:pStyle w:val="null3"/>
              <w:ind w:firstLine="480"/>
              <w:jc w:val="both"/>
            </w:pPr>
            <w:r>
              <w:rPr>
                <w:rFonts w:ascii="仿宋_GB2312" w:hAnsi="仿宋_GB2312" w:cs="仿宋_GB2312" w:eastAsia="仿宋_GB2312"/>
                <w:sz w:val="24"/>
              </w:rPr>
              <w:t>项目名称：西安市中小学教师及校园长学科教研员业务能力提升培训项目</w:t>
            </w:r>
          </w:p>
          <w:p>
            <w:pPr>
              <w:pStyle w:val="null3"/>
              <w:ind w:firstLine="480"/>
              <w:jc w:val="both"/>
            </w:pPr>
            <w:r>
              <w:rPr>
                <w:rFonts w:ascii="仿宋_GB2312" w:hAnsi="仿宋_GB2312" w:cs="仿宋_GB2312" w:eastAsia="仿宋_GB2312"/>
                <w:sz w:val="24"/>
              </w:rPr>
              <w:t>预算金额：</w:t>
            </w:r>
            <w:r>
              <w:rPr>
                <w:rFonts w:ascii="仿宋_GB2312" w:hAnsi="仿宋_GB2312" w:cs="仿宋_GB2312" w:eastAsia="仿宋_GB2312"/>
                <w:sz w:val="24"/>
              </w:rPr>
              <w:t>56</w:t>
            </w:r>
            <w:r>
              <w:rPr>
                <w:rFonts w:ascii="仿宋_GB2312" w:hAnsi="仿宋_GB2312" w:cs="仿宋_GB2312" w:eastAsia="仿宋_GB2312"/>
                <w:sz w:val="24"/>
              </w:rPr>
              <w:t>万</w:t>
            </w:r>
          </w:p>
          <w:p>
            <w:pPr>
              <w:pStyle w:val="null3"/>
              <w:numPr>
                <w:ilvl w:val="0"/>
                <w:numId w:val="1"/>
              </w:numPr>
              <w:jc w:val="both"/>
            </w:pPr>
            <w:r>
              <w:rPr>
                <w:rFonts w:ascii="仿宋_GB2312" w:hAnsi="仿宋_GB2312" w:cs="仿宋_GB2312" w:eastAsia="仿宋_GB2312"/>
                <w:sz w:val="24"/>
              </w:rPr>
              <w:t>项目实施背景和依据</w:t>
            </w:r>
          </w:p>
          <w:p>
            <w:pPr>
              <w:pStyle w:val="null3"/>
              <w:ind w:firstLine="480"/>
              <w:jc w:val="both"/>
            </w:pPr>
            <w:r>
              <w:rPr>
                <w:rFonts w:ascii="仿宋_GB2312" w:hAnsi="仿宋_GB2312" w:cs="仿宋_GB2312" w:eastAsia="仿宋_GB2312"/>
                <w:sz w:val="24"/>
              </w:rPr>
              <w:t>在数字化时代浪潮下，提升全民数字素养已成为国家发展的重要战略任务。加强中小学学科教研员的数字素养，是顺应教育数字化转型趋势的必然要求，是推动基础教育高质量发展的关键举措，是培养适应时代需求创新人才的重要支撑。以国家关于推进教育数字化、提升师生数字素养与技能的相关政策为指引，旨在全面提升中小学学科教研员的数字素养。助力其打造具备前沿数字教育理念、熟练掌握数字化教学与教研工具及方法的能力体系，使其成为引领教育数字化变革的“先锋官”。</w:t>
            </w:r>
          </w:p>
          <w:p>
            <w:pPr>
              <w:pStyle w:val="null3"/>
              <w:ind w:firstLine="480"/>
              <w:jc w:val="both"/>
            </w:pPr>
            <w:r>
              <w:rPr>
                <w:rFonts w:ascii="仿宋_GB2312" w:hAnsi="仿宋_GB2312" w:cs="仿宋_GB2312" w:eastAsia="仿宋_GB2312"/>
                <w:sz w:val="24"/>
              </w:rPr>
              <w:t>培训对象的遴选由西安市教育局下发通知，区县和市直属单位负责具体安排和落实。</w:t>
            </w:r>
          </w:p>
          <w:p>
            <w:pPr>
              <w:pStyle w:val="null3"/>
              <w:jc w:val="both"/>
            </w:pPr>
            <w:r>
              <w:rPr>
                <w:rFonts w:ascii="仿宋_GB2312" w:hAnsi="仿宋_GB2312" w:cs="仿宋_GB2312" w:eastAsia="仿宋_GB2312"/>
                <w:sz w:val="24"/>
              </w:rPr>
              <w:t>三、项目经费预算</w:t>
            </w:r>
          </w:p>
          <w:p>
            <w:pPr>
              <w:pStyle w:val="null3"/>
              <w:ind w:firstLine="480"/>
              <w:jc w:val="both"/>
            </w:pPr>
            <w:r>
              <w:rPr>
                <w:rFonts w:ascii="仿宋_GB2312" w:hAnsi="仿宋_GB2312" w:cs="仿宋_GB2312" w:eastAsia="仿宋_GB2312"/>
                <w:sz w:val="24"/>
              </w:rPr>
              <w:t>西安市中小学教师及校园长学科教研员业务能力提升培训项目。</w:t>
            </w:r>
          </w:p>
          <w:p>
            <w:pPr>
              <w:pStyle w:val="null3"/>
              <w:ind w:firstLine="480"/>
              <w:jc w:val="both"/>
            </w:pPr>
            <w:r>
              <w:rPr>
                <w:rFonts w:ascii="仿宋_GB2312" w:hAnsi="仿宋_GB2312" w:cs="仿宋_GB2312" w:eastAsia="仿宋_GB2312"/>
                <w:sz w:val="24"/>
              </w:rPr>
              <w:t>培训人数：</w:t>
            </w:r>
            <w:r>
              <w:rPr>
                <w:rFonts w:ascii="仿宋_GB2312" w:hAnsi="仿宋_GB2312" w:cs="仿宋_GB2312" w:eastAsia="仿宋_GB2312"/>
                <w:sz w:val="24"/>
              </w:rPr>
              <w:t>400</w:t>
            </w:r>
            <w:r>
              <w:rPr>
                <w:rFonts w:ascii="仿宋_GB2312" w:hAnsi="仿宋_GB2312" w:cs="仿宋_GB2312" w:eastAsia="仿宋_GB2312"/>
                <w:sz w:val="24"/>
              </w:rPr>
              <w:t>人；</w:t>
            </w:r>
          </w:p>
          <w:p>
            <w:pPr>
              <w:pStyle w:val="null3"/>
              <w:ind w:firstLine="480"/>
              <w:jc w:val="both"/>
            </w:pPr>
            <w:r>
              <w:rPr>
                <w:rFonts w:ascii="仿宋_GB2312" w:hAnsi="仿宋_GB2312" w:cs="仿宋_GB2312" w:eastAsia="仿宋_GB2312"/>
                <w:sz w:val="24"/>
              </w:rPr>
              <w:t>培训时长：</w:t>
            </w:r>
            <w:r>
              <w:rPr>
                <w:rFonts w:ascii="仿宋_GB2312" w:hAnsi="仿宋_GB2312" w:cs="仿宋_GB2312" w:eastAsia="仿宋_GB2312"/>
                <w:sz w:val="24"/>
              </w:rPr>
              <w:t>3</w:t>
            </w:r>
            <w:r>
              <w:rPr>
                <w:rFonts w:ascii="仿宋_GB2312" w:hAnsi="仿宋_GB2312" w:cs="仿宋_GB2312" w:eastAsia="仿宋_GB2312"/>
                <w:sz w:val="24"/>
              </w:rPr>
              <w:t>天；</w:t>
            </w:r>
          </w:p>
          <w:p>
            <w:pPr>
              <w:pStyle w:val="null3"/>
              <w:ind w:firstLine="480"/>
              <w:jc w:val="both"/>
            </w:pPr>
            <w:r>
              <w:rPr>
                <w:rFonts w:ascii="仿宋_GB2312" w:hAnsi="仿宋_GB2312" w:cs="仿宋_GB2312" w:eastAsia="仿宋_GB2312"/>
                <w:sz w:val="24"/>
              </w:rPr>
              <w:t>合计：</w:t>
            </w:r>
            <w:r>
              <w:rPr>
                <w:rFonts w:ascii="仿宋_GB2312" w:hAnsi="仿宋_GB2312" w:cs="仿宋_GB2312" w:eastAsia="仿宋_GB2312"/>
                <w:sz w:val="24"/>
              </w:rPr>
              <w:t>560000</w:t>
            </w:r>
            <w:r>
              <w:rPr>
                <w:rFonts w:ascii="仿宋_GB2312" w:hAnsi="仿宋_GB2312" w:cs="仿宋_GB2312" w:eastAsia="仿宋_GB2312"/>
                <w:sz w:val="24"/>
              </w:rPr>
              <w:t>元。</w:t>
            </w:r>
          </w:p>
          <w:p>
            <w:pPr>
              <w:pStyle w:val="null3"/>
              <w:jc w:val="both"/>
            </w:pPr>
            <w:r>
              <w:rPr>
                <w:rFonts w:ascii="仿宋_GB2312" w:hAnsi="仿宋_GB2312" w:cs="仿宋_GB2312" w:eastAsia="仿宋_GB2312"/>
                <w:sz w:val="24"/>
              </w:rPr>
              <w:t>四、项目需求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培训对象：中小学校学科教研员</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培训人数：</w:t>
            </w:r>
            <w:r>
              <w:rPr>
                <w:rFonts w:ascii="仿宋_GB2312" w:hAnsi="仿宋_GB2312" w:cs="仿宋_GB2312" w:eastAsia="仿宋_GB2312"/>
                <w:sz w:val="24"/>
              </w:rPr>
              <w:t>400</w:t>
            </w:r>
            <w:r>
              <w:rPr>
                <w:rFonts w:ascii="仿宋_GB2312" w:hAnsi="仿宋_GB2312" w:cs="仿宋_GB2312" w:eastAsia="仿宋_GB2312"/>
                <w:sz w:val="24"/>
              </w:rPr>
              <w:t>人，分批开展</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培训时间：</w:t>
            </w:r>
            <w:r>
              <w:rPr>
                <w:rFonts w:ascii="仿宋_GB2312" w:hAnsi="仿宋_GB2312" w:cs="仿宋_GB2312" w:eastAsia="仿宋_GB2312"/>
                <w:sz w:val="24"/>
              </w:rPr>
              <w:t>2025</w:t>
            </w:r>
            <w:r>
              <w:rPr>
                <w:rFonts w:ascii="仿宋_GB2312" w:hAnsi="仿宋_GB2312" w:cs="仿宋_GB2312" w:eastAsia="仿宋_GB2312"/>
                <w:sz w:val="24"/>
              </w:rPr>
              <w:t>年</w:t>
            </w:r>
            <w:r>
              <w:rPr>
                <w:rFonts w:ascii="仿宋_GB2312" w:hAnsi="仿宋_GB2312" w:cs="仿宋_GB2312" w:eastAsia="仿宋_GB2312"/>
                <w:sz w:val="24"/>
              </w:rPr>
              <w:t>12</w:t>
            </w:r>
            <w:r>
              <w:rPr>
                <w:rFonts w:ascii="仿宋_GB2312" w:hAnsi="仿宋_GB2312" w:cs="仿宋_GB2312" w:eastAsia="仿宋_GB2312"/>
                <w:sz w:val="24"/>
              </w:rPr>
              <w:t>月</w:t>
            </w:r>
            <w:r>
              <w:rPr>
                <w:rFonts w:ascii="仿宋_GB2312" w:hAnsi="仿宋_GB2312" w:cs="仿宋_GB2312" w:eastAsia="仿宋_GB2312"/>
                <w:sz w:val="24"/>
              </w:rPr>
              <w:t>31</w:t>
            </w:r>
            <w:r>
              <w:rPr>
                <w:rFonts w:ascii="仿宋_GB2312" w:hAnsi="仿宋_GB2312" w:cs="仿宋_GB2312" w:eastAsia="仿宋_GB2312"/>
                <w:sz w:val="24"/>
              </w:rPr>
              <w:t>日之前</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培训形式：集中培训</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培训内容：立足各学科实际，从理念提升、资源整合、教学创新、教研创新维度出发，科学规划培训方案，开展高品质研修活动，如专家讲座、案例研讨等。全面赋能</w:t>
            </w:r>
            <w:r>
              <w:rPr>
                <w:rFonts w:ascii="仿宋_GB2312" w:hAnsi="仿宋_GB2312" w:cs="仿宋_GB2312" w:eastAsia="仿宋_GB2312"/>
                <w:sz w:val="24"/>
              </w:rPr>
              <w:t>专兼职</w:t>
            </w:r>
            <w:r>
              <w:rPr>
                <w:rFonts w:ascii="仿宋_GB2312" w:hAnsi="仿宋_GB2312" w:cs="仿宋_GB2312" w:eastAsia="仿宋_GB2312"/>
                <w:sz w:val="24"/>
              </w:rPr>
              <w:t>教研员数字素养教学与教研能力，探索以数智化推动学科教学与教研发展的有效路径</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五、服务要求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聚焦培训主题</w:t>
            </w:r>
          </w:p>
          <w:p>
            <w:pPr>
              <w:pStyle w:val="null3"/>
              <w:ind w:firstLine="480"/>
              <w:jc w:val="both"/>
            </w:pPr>
            <w:r>
              <w:rPr>
                <w:rFonts w:ascii="仿宋_GB2312" w:hAnsi="仿宋_GB2312" w:cs="仿宋_GB2312" w:eastAsia="仿宋_GB2312"/>
                <w:sz w:val="24"/>
              </w:rPr>
              <w:t>认真研读教育部、省教育厅等文件要求，遵循教师成长规律，以解决问题、提升能力为项目设计的出发点和落脚点，突出问题导向和成果导向，聚焦不同发展阶段教师应具备的核心素养与关键能力，分层分类构建培训课程体系，应用为本，确保教师有成长感和获得感。</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完善教师培训内容</w:t>
            </w:r>
          </w:p>
          <w:p>
            <w:pPr>
              <w:pStyle w:val="null3"/>
              <w:ind w:firstLine="480"/>
              <w:jc w:val="both"/>
            </w:pPr>
            <w:r>
              <w:rPr>
                <w:rFonts w:ascii="仿宋_GB2312" w:hAnsi="仿宋_GB2312" w:cs="仿宋_GB2312" w:eastAsia="仿宋_GB2312"/>
                <w:sz w:val="24"/>
              </w:rPr>
              <w:t>立足西安市教师队伍建设实际，有针对性地设置培训课程，少理论、重实践，注重新课标新教材和课堂教学技能、加大一线授课专家比例。</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创新教师培训模式</w:t>
            </w:r>
          </w:p>
          <w:p>
            <w:pPr>
              <w:pStyle w:val="null3"/>
              <w:ind w:firstLine="480"/>
              <w:jc w:val="both"/>
            </w:pPr>
            <w:r>
              <w:rPr>
                <w:rFonts w:ascii="仿宋_GB2312" w:hAnsi="仿宋_GB2312" w:cs="仿宋_GB2312" w:eastAsia="仿宋_GB2312"/>
                <w:sz w:val="24"/>
              </w:rPr>
              <w:t>要将互联网、大数据、虚拟现实、人工智能等新技术融合运用到培训中，实施线上培训和线下培训相结合，训前、训中和训后相统一的混合动态延伸培训新模式。</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实施培训效果评估。</w:t>
            </w:r>
          </w:p>
          <w:p>
            <w:pPr>
              <w:pStyle w:val="null3"/>
              <w:ind w:firstLine="480"/>
              <w:jc w:val="both"/>
            </w:pPr>
            <w:r>
              <w:rPr>
                <w:rFonts w:ascii="仿宋_GB2312" w:hAnsi="仿宋_GB2312" w:cs="仿宋_GB2312" w:eastAsia="仿宋_GB2312"/>
                <w:sz w:val="24"/>
              </w:rPr>
              <w:t>每个项目按照要求，择优提供培训成果案例，通过教学展示、培训反思、成果汇报、培训成果二次分享等多种形式呈现培训效果，并将培训效果相关材料于培训结束一个月内提供给甲方，作为评估培训效果的重要依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自合同签订之日起至所有服务完成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符合国家相关标准和磋商文件及磋商响应文件承诺的相关内容。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合同履行完毕并经验收合格，收到供应商开具的发票后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 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法定代表人直接参加磋商的，需提供法定代表人身份证明（含法人身份证复印件），法定代表人委托代理人参加磋商的，需提供法定代表人授权委托书（含法定代表人及代理人身份证复印件）。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商务、服务、技术条款偏离表.docx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符合磋商文件的实质性要求</w:t>
            </w:r>
          </w:p>
        </w:tc>
        <w:tc>
          <w:tcPr>
            <w:tcW w:type="dxa" w:w="1661"/>
          </w:tcPr>
          <w:p>
            <w:pPr>
              <w:pStyle w:val="null3"/>
            </w:pPr>
            <w:r>
              <w:rPr>
                <w:rFonts w:ascii="仿宋_GB2312" w:hAnsi="仿宋_GB2312" w:cs="仿宋_GB2312" w:eastAsia="仿宋_GB2312"/>
              </w:rPr>
              <w:t>商务、服务、技术条款偏离表.docx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1.能清晰、准确把握培训目标、对象特点、核心需求及政策导向，并深度融入政策要求，分层分类精准分析对象需求，计15分。 2.能清晰、准确把握培训目标、对象特点、核心需求及政策导向，基本融入政策要求，分层分类分析对象需求，计12分。 3.基本能够把握培训目标、对象特点、核心需求及政策导向，部分提及政策要求，培训对象需求分析基本覆盖，计9分。 4.基本理解培训目标、对象特点、核心需求及政策导向，未体现政策要求，培训对象需求分析覆盖不全，计6分。 5.培训目标、对象特点、核心需求及政策导向理解不清晰，未体现政策要求，未针对各类培训对象需求进行分析，计3分。 6.本项不提供的，不得分。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1.方案完整科学，内容紧扣培训主题；培训课程针对性强；创新培训模式，课程安排合理高效；组织培训师资力量强大，能有效整合研修资源；突出实践性、针对性、操作性，创新性；计20分。 2.方案较为完整科学，内容符合核心需求；培训课程针对性较强；培训模式较为创新，课程安排较合理；组织培训师资力量较强大，能整合研修资源；具有实践性、针对性、操作性、创新性；计16分。 3.方案较为完整，内容基本满足核心需求；培训课程针对性较强；培训模式重复，课程安排不够合理；组织培训师资力量较弱，研修资源整合能力较弱；基本体现实践性、针对性、操作性；计12分。 4.方案基本可行，内容基本满足需求；培训课程针对性一般；培训模式单一、课程安排不够合理；组织培训师资力量弱，研修资源整合能力弱；基本体现实践性、操作性；计8分。 5.方案基本可行，内容模糊；培训课程缺乏针对性；培训模式单一、安排存在漏洞；未提供培训师资力量介绍；缺乏实践性、操作性；计4分。 6.本项不提供的，不得分。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1.拟投入本项目的项目团队说明清晰、全面；组织结构合理性强，小组分工明确，能切实保障各培训项目的有效开展；人员专业配备全面、合理，项目团队能够充分保证项目实施进度与质量；计15分。 2.拟投入本项目的项目团队说明较为清晰、全面；组织结构合理，小组分工较明确，能保障各培训项目按要求开展；人员专业配备较全面，项目团队能够保证项目实施进度与质量；计12分。 3.拟投入本项目的项目团队说明基本清晰、全面；组织结构较合理，小组分工不明确，基本能保障各培训项目按要求开展；人员专业配备基本满足，项目团队基本能够保证项目实施进度与质量；计9分。 4.拟投入本项目的项目团队说明不够清晰、全面；组织结构合理性较弱，小组分工未做说明，基本保障培训项目开展；人员专业配备不足，项目团队基本能够保证项目实施进度与质量；计6分。 5.拟投入本项目的项目团队说明模糊；组织结构及小组分工未做说明；人员专业配备未做特别说明，项目团队较难保证项目实施进度与质量；计3分。 6.本项不提供的，不得分。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w:t>
            </w:r>
          </w:p>
        </w:tc>
      </w:tr>
      <w:tr>
        <w:tc>
          <w:tcPr>
            <w:tcW w:type="dxa" w:w="831"/>
            <w:vMerge/>
          </w:tcPr>
          <w:p/>
        </w:tc>
        <w:tc>
          <w:tcPr>
            <w:tcW w:type="dxa" w:w="1661"/>
          </w:tcPr>
          <w:p>
            <w:pPr>
              <w:pStyle w:val="null3"/>
            </w:pPr>
            <w:r>
              <w:rPr>
                <w:rFonts w:ascii="仿宋_GB2312" w:hAnsi="仿宋_GB2312" w:cs="仿宋_GB2312" w:eastAsia="仿宋_GB2312"/>
              </w:rPr>
              <w:t>培训场地及设施安排</w:t>
            </w:r>
          </w:p>
        </w:tc>
        <w:tc>
          <w:tcPr>
            <w:tcW w:type="dxa" w:w="2492"/>
          </w:tcPr>
          <w:p>
            <w:pPr>
              <w:pStyle w:val="null3"/>
            </w:pPr>
            <w:r>
              <w:rPr>
                <w:rFonts w:ascii="仿宋_GB2312" w:hAnsi="仿宋_GB2312" w:cs="仿宋_GB2312" w:eastAsia="仿宋_GB2312"/>
              </w:rPr>
              <w:t>1.拟提供培训场地及设施说明清晰、全面；提供自有或租用的教学培训场地、实操场地及食宿场地的相关说明全面；拟提供场地条件完备，培训设施设备完善；计10分。 2.拟提供培训场地及设施说明较为清晰、全面；提供自有或租用的教学培训场地、实操场地及食宿场地的相关说明较为全面；拟提供场地条件较完备，培训设施设备较完善；计8分。 3.拟提供培训场地及设施说明基本清晰、全面；提供自有或租用的教学培训场地、实操场地及食宿场地的相关说明基本全面；拟提供场地条件较基本完备，培训设施设备基本完善；计6分。 4.拟提供培训场地及设施说明不够清晰；提供自有或租用的教学培训场地、实操场地及食宿场地的相关说明不全面；拟提供场地条件不完备，培训设施设备不完善；计4分。 5.拟提供培训场地及设施说明模糊；提供自有或租用的教学培训场地、实操场地及食宿场地的相关说明不合理；拟提供场地条件差、培训设施设备欠缺；计2分。 6.本项不提供的，不得分。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1.提供内容完整，项目实施进度计划详实可行；方案内容完备，合理性、可行性强，阶段清晰分明；因不可抗力而无法举行培训的富余时间充足；计10分。 2.提供内容较完整，项目实施进度计划较详实可行；方案内容较完备，合理性、可行性，阶段较清晰；因不可抗力而无法举行培训的富余时间较充足；计8分。 提供内容基本完整，项目实施进度计划基本详实可行；方案内容基本完善，基本合理，阶段划分基本清晰；因不可抗力而无法举行培训的富余时间基本满足项目要求；计6分。 提供内容不够完整，项目实施进度计划可行性较差；方案内容片面，合理性较弱，阶段划分模糊；因不可抗力而无法举行培训的富余时间紧张；计4分。 提供内容面模糊、项目实施进度计划差；方案内容不完备，不合理可行，阶段不清晰；未预留因不可抗力而无法举行培训的富余时间；计2分。 6.本项不提供的，不得分。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1.具有健全的质量保障方案，方案科学合理，可行性强，针对性强；有科学合理的质量保障监督方案、效果评估方案；应急预案和相应处理措施合理可行；计10分。 2.质量保障方案较健全，方案较科学合理，可行性较强，针对性较强；有科学合理的质量保障监督方案、但效果评估方案较合理；应急预案和相应处理措施较合理可行；计8分。 3.质量保障方案基本健全，方案基本可行，可行性一般，针对性一般；质量保障监督方案、效果评估方案均基本合理；应急预案和相应处理措施基本合理可行；计6分。 4.质量保障方案模糊，可行性、针对性较弱；质量保障监督方案、效果评估方案均一般合理；应急预案和相应处理措施一般合理可行；计4分。 5.质量保障方案差，可行性、针对性弱；未提供质量保障监督方案或效果评估方案；未提供应急预案和相应处理措施；计2分。 6.本项不提供的，不得分。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起，截至本项目开标之日的类似的业绩（以合同签订时间为准），每提供1个得2分，最高得10分。评审标准：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详见附件：商务、服务、技术条款偏离表.docx</w:t>
      </w:r>
    </w:p>
    <w:p>
      <w:pPr>
        <w:pStyle w:val="null3"/>
        <w:ind w:firstLine="960"/>
      </w:pPr>
      <w:r>
        <w:rPr>
          <w:rFonts w:ascii="仿宋_GB2312" w:hAnsi="仿宋_GB2312" w:cs="仿宋_GB2312" w:eastAsia="仿宋_GB2312"/>
        </w:rPr>
        <w:t>详见附件：磋商响应方案说明书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