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w:t>
      </w:r>
      <w:r>
        <w:rPr>
          <w:rFonts w:hint="eastAsia" w:ascii="宋体" w:hAnsi="宋体" w:cs="宋体"/>
          <w:b/>
          <w:bCs/>
          <w:sz w:val="44"/>
          <w:szCs w:val="44"/>
          <w:lang w:val="en-US" w:eastAsia="zh-CN"/>
        </w:rPr>
        <w:t>采购</w:t>
      </w:r>
      <w:r>
        <w:rPr>
          <w:rFonts w:hint="eastAsia" w:ascii="宋体" w:hAnsi="宋体" w:cs="宋体"/>
          <w:b/>
          <w:bCs/>
          <w:sz w:val="44"/>
          <w:szCs w:val="44"/>
          <w:lang w:val="zh-CN"/>
        </w:rPr>
        <w:t>合同文本</w:t>
      </w:r>
    </w:p>
    <w:p w14:paraId="182D4B6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甲方（采购人）： </w:t>
      </w:r>
    </w:p>
    <w:p w14:paraId="65507E6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乙方（成交供应商）： </w:t>
      </w:r>
    </w:p>
    <w:p w14:paraId="3A1D5E6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u w:val="single"/>
          <w:lang w:val="en-US" w:eastAsia="zh-CN"/>
        </w:rPr>
        <w:t>2025年西安市综合交通信息服务平台应用系统软件运维项目(项目编号：SXHC2025-236)</w:t>
      </w:r>
      <w:r>
        <w:rPr>
          <w:rFonts w:hint="eastAsia" w:ascii="仿宋_GB2312" w:hAnsi="仿宋_GB2312" w:eastAsia="仿宋_GB2312" w:cs="仿宋_GB2312"/>
          <w:color w:val="auto"/>
          <w:sz w:val="28"/>
          <w:szCs w:val="28"/>
          <w:highlight w:val="none"/>
          <w:lang w:val="en-US" w:eastAsia="zh-CN"/>
        </w:rPr>
        <w:t>，由陕西华采招标有限</w:t>
      </w:r>
      <w:bookmarkStart w:id="0" w:name="_GoBack"/>
      <w:bookmarkEnd w:id="0"/>
      <w:r>
        <w:rPr>
          <w:rFonts w:hint="eastAsia" w:ascii="仿宋_GB2312" w:hAnsi="仿宋_GB2312" w:eastAsia="仿宋_GB2312" w:cs="仿宋_GB2312"/>
          <w:color w:val="auto"/>
          <w:sz w:val="28"/>
          <w:szCs w:val="28"/>
          <w:highlight w:val="none"/>
          <w:lang w:val="en-US" w:eastAsia="zh-CN"/>
        </w:rPr>
        <w:t>公司组织竞争性磋商，</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(以下简称“甲方”)确定</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（以下简称“乙方”）为该项目的成交供应商。</w:t>
      </w:r>
    </w:p>
    <w:p w14:paraId="33C717D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依据《中华人民共和国民法典》和《中华人民共和国政府采购法》之规定，经双方在平等、自愿、互利的基础上，签订本合同，共同信守。</w:t>
      </w:r>
    </w:p>
    <w:p w14:paraId="4D533B41">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一、合同价款</w:t>
      </w:r>
    </w:p>
    <w:p w14:paraId="4F7AB28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（一）合同价款为人民币（大写）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698C2A6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（二）合同价款是指本次服务内容所需的全部费用, 包括但不限于设备费、实施费、管理费、维保费、人员工资、税金及其它全部费用。</w:t>
      </w:r>
    </w:p>
    <w:p w14:paraId="629DBD8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（三）合同价款一次性包死，不受市场价格变化因素的影响。</w:t>
      </w:r>
    </w:p>
    <w:p w14:paraId="0318E4BB">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二、委托工作内容：</w:t>
      </w:r>
      <w:r>
        <w:rPr>
          <w:rFonts w:hint="eastAsia" w:ascii="仿宋_GB2312" w:hAnsi="仿宋_GB2312" w:eastAsia="仿宋_GB2312" w:cs="仿宋_GB2312"/>
          <w:b/>
          <w:bCs/>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6AC56D78">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三、款项结算</w:t>
      </w:r>
    </w:p>
    <w:p w14:paraId="0441858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（一）付款方式：</w:t>
      </w:r>
    </w:p>
    <w:p w14:paraId="3E30835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1、自合同签订之日起，达到付款条件起30日内，支付合同总金额的40%。</w:t>
      </w:r>
    </w:p>
    <w:p w14:paraId="11A7F1B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2、2025年12月项目开工后，达到付款条件起30日内，支付合同总金额的10%。</w:t>
      </w:r>
    </w:p>
    <w:p w14:paraId="4C27F76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3、2026年财政拨付项目尾款预算并通过甲方服务质量阶段性考核后，达到付款条件起30日内，支付合同总金额的40%。</w:t>
      </w:r>
    </w:p>
    <w:p w14:paraId="71E7C6A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4、2026年财政拨付项目尾款预算且项目履约验收合格后，达到付款条件起30日内，支付合同总金额的10%。</w:t>
      </w:r>
    </w:p>
    <w:p w14:paraId="286F34E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（二）结算方式：银行转账。</w:t>
      </w:r>
    </w:p>
    <w:p w14:paraId="53E7225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（三）结算单位：由甲方负责结算，乙方开具合同价款的全额发票给甲方。</w:t>
      </w:r>
    </w:p>
    <w:p w14:paraId="12C91B5C">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四、服务期及服务地点</w:t>
      </w:r>
    </w:p>
    <w:p w14:paraId="755C58A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（一）服务期：</w:t>
      </w:r>
      <w:r>
        <w:rPr>
          <w:rFonts w:hint="eastAsia" w:ascii="仿宋_GB2312" w:hAnsi="仿宋_GB2312" w:eastAsia="仿宋_GB2312" w:cs="仿宋_GB2312"/>
          <w:spacing w:val="-19"/>
          <w:sz w:val="28"/>
          <w:szCs w:val="28"/>
          <w:highlight w:val="none"/>
          <w:lang w:val="en-US" w:eastAsia="zh-CN"/>
        </w:rPr>
        <w:t>一年（2025年12月04日至2026年12月03日）</w:t>
      </w:r>
      <w:r>
        <w:rPr>
          <w:rFonts w:hint="eastAsia" w:ascii="仿宋_GB2312" w:hAnsi="仿宋_GB2312" w:eastAsia="仿宋_GB2312" w:cs="仿宋_GB2312"/>
          <w:color w:val="auto"/>
          <w:sz w:val="28"/>
          <w:szCs w:val="28"/>
          <w:highlight w:val="none"/>
          <w:lang w:val="en-US" w:eastAsia="zh-CN"/>
        </w:rPr>
        <w:t>。</w:t>
      </w:r>
    </w:p>
    <w:p w14:paraId="1559C18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（二）服务地点：</w:t>
      </w:r>
      <w:r>
        <w:rPr>
          <w:rFonts w:hint="eastAsia" w:ascii="仿宋_GB2312" w:hAnsi="仿宋_GB2312" w:eastAsia="仿宋_GB2312" w:cs="仿宋_GB2312"/>
          <w:spacing w:val="-19"/>
          <w:sz w:val="28"/>
          <w:szCs w:val="28"/>
          <w:highlight w:val="none"/>
          <w:lang w:eastAsia="zh-CN"/>
        </w:rPr>
        <w:t>西安市交通信息中心，</w:t>
      </w:r>
      <w:r>
        <w:rPr>
          <w:rFonts w:hint="eastAsia" w:ascii="仿宋_GB2312" w:hAnsi="仿宋_GB2312" w:eastAsia="仿宋_GB2312" w:cs="仿宋_GB2312"/>
          <w:spacing w:val="-19"/>
          <w:sz w:val="28"/>
          <w:szCs w:val="28"/>
          <w:highlight w:val="none"/>
          <w:lang w:val="en-US" w:eastAsia="zh-CN"/>
        </w:rPr>
        <w:t>具体以甲方指定地点为准</w:t>
      </w:r>
      <w:r>
        <w:rPr>
          <w:rFonts w:hint="eastAsia" w:ascii="仿宋_GB2312" w:hAnsi="仿宋_GB2312" w:eastAsia="仿宋_GB2312" w:cs="仿宋_GB2312"/>
          <w:color w:val="auto"/>
          <w:sz w:val="28"/>
          <w:szCs w:val="28"/>
          <w:highlight w:val="none"/>
          <w:lang w:val="en-US" w:eastAsia="zh-CN"/>
        </w:rPr>
        <w:t>。</w:t>
      </w:r>
    </w:p>
    <w:p w14:paraId="505CAF07">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五、双方的权利和义务</w:t>
      </w:r>
    </w:p>
    <w:p w14:paraId="6EE9036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（一）甲方的权利与义务</w:t>
      </w:r>
    </w:p>
    <w:p w14:paraId="072C2CD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1、甲方负责配合本次项目服务工作；</w:t>
      </w:r>
    </w:p>
    <w:p w14:paraId="7A862AF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2、甲方应按本合同的约定向乙方支付合同价款；</w:t>
      </w:r>
    </w:p>
    <w:p w14:paraId="1CF6C5C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3、甲方根据需要对乙方提供的实施方案进行审核，提供建议及意见，确定最终实施的服务方案，以便乙方遵照执行；</w:t>
      </w:r>
    </w:p>
    <w:p w14:paraId="27688E5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4、甲方有权对乙方的工作进行监督和考核。</w:t>
      </w:r>
    </w:p>
    <w:p w14:paraId="3AB2AA9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（二）乙方的权利与义务</w:t>
      </w:r>
    </w:p>
    <w:p w14:paraId="0B7A3D6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1、乙方的工作人员必须严格遵守甲方的规章制度，以良好的形象和积极的工作态度，按甲方要求开展工作；</w:t>
      </w:r>
    </w:p>
    <w:p w14:paraId="49FB3FC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2、乙方应服从甲方统筹管理并按流程开展工作；</w:t>
      </w:r>
    </w:p>
    <w:p w14:paraId="1C76E60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3、乙方提交的方案等应得到甲方确认再予以实施。</w:t>
      </w:r>
    </w:p>
    <w:p w14:paraId="079D344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六、服务质量保证</w:t>
      </w:r>
    </w:p>
    <w:p w14:paraId="3E65DB8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以磋商文件、澄清表、合同和服务承诺的相关文件为准，但至少应包括：</w:t>
      </w:r>
    </w:p>
    <w:p w14:paraId="43168CF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需派1名项目负责人，直接与甲方沟通，并委派至少5名服务团队成员提供驻场服务，项目负责人接收甲方提出的问题与要求，并及时向公司申请调动资源，解决甲方在项目实施过程中遇到的问题。本合同履行过程中，乙方未经甲方书面同意不得更换服务人员。</w:t>
      </w:r>
    </w:p>
    <w:p w14:paraId="0E9176EB">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（二）项目在实施过程中会出现不可预料的需求变更，乙方需积极配合甲方的需求变更，并按照变更后的需求继续制作。</w:t>
      </w:r>
    </w:p>
    <w:p w14:paraId="71BBF3E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（三）对于重大故障或者需要较高技术的服务，乙方需根据甲方的具体情况，紧急成立由各专家和资深技术人员组成的专家服务组，为客户提供诊断和技术咨询服务，迅速排除故障。</w:t>
      </w:r>
    </w:p>
    <w:p w14:paraId="70058FB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（四）乙方需设有详细的技术资料档案和服务档案，将保存项目的详细资料以便于更好地提供服务。</w:t>
      </w:r>
    </w:p>
    <w:p w14:paraId="1E513D5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（五）服务响应：</w:t>
      </w:r>
      <w:r>
        <w:rPr>
          <w:rFonts w:hint="eastAsia" w:ascii="仿宋_GB2312" w:hAnsi="仿宋_GB2312" w:eastAsia="仿宋_GB2312" w:cs="仿宋_GB2312"/>
          <w:b w:val="0"/>
          <w:bCs w:val="0"/>
          <w:color w:val="auto"/>
          <w:sz w:val="28"/>
          <w:szCs w:val="28"/>
          <w:lang w:val="en-US" w:eastAsia="zh-CN" w:bidi="ar-SA"/>
        </w:rPr>
        <w:t>提供7*24小时的技术支持和紧急运行维护服务，及时处理和系统运行维护相关的事务。出现系统故障时，要求在1小时内响应，一般故障要在4小时内解决，系统故障6小时内解决</w:t>
      </w:r>
      <w:r>
        <w:rPr>
          <w:rFonts w:hint="eastAsia" w:ascii="仿宋_GB2312" w:hAnsi="仿宋_GB2312" w:eastAsia="仿宋_GB2312" w:cs="仿宋_GB2312"/>
          <w:color w:val="auto"/>
          <w:sz w:val="28"/>
          <w:szCs w:val="28"/>
          <w:highlight w:val="none"/>
          <w:lang w:val="en-US" w:eastAsia="zh-CN"/>
        </w:rPr>
        <w:t>。</w:t>
      </w:r>
    </w:p>
    <w:p w14:paraId="7F317C2A">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七、知识产权</w:t>
      </w:r>
    </w:p>
    <w:p w14:paraId="4D4C50E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（一）本项目知识产权归甲方所有。</w:t>
      </w:r>
    </w:p>
    <w:p w14:paraId="7742033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（二）乙方无论出于任何目的如在其他地方使用该成果，必须经甲方同意方可使用。否则，甲方有权要求终止涉及到该中标知识产权的任何使用活动并保留追究卖方相应的法律责任的权利。 </w:t>
      </w:r>
    </w:p>
    <w:p w14:paraId="6B6D4B3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（三）乙方为执行本合同而提供的技术资料使用权归甲方所有。</w:t>
      </w:r>
    </w:p>
    <w:p w14:paraId="21FD230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八、保密规定</w:t>
      </w:r>
    </w:p>
    <w:p w14:paraId="1A4C274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守约方有权单方解除合同并应按本合同约定总金额的20%向违约方主张违约金。违约金不能弥补守约方损失的，违约方仍应承担全部赔偿责任。违约方赔偿责任范围包括但不限于守约方因违约行为而遭受的直接经济损失、信誉受损以及本合同约定的因维权而支付的相关费用。</w:t>
      </w:r>
    </w:p>
    <w:p w14:paraId="5E3D7445">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九、其他事项</w:t>
      </w:r>
    </w:p>
    <w:p w14:paraId="1390953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（一）乙方不得转让给其它单位或个人。</w:t>
      </w:r>
    </w:p>
    <w:p w14:paraId="6FE2E14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（二）乙方的响应文件和承诺等内容将列入合同。</w:t>
      </w:r>
    </w:p>
    <w:p w14:paraId="4FA4A6DE">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十、验收</w:t>
      </w:r>
    </w:p>
    <w:p w14:paraId="415064C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（一）本项目验收费用，由乙方自行承担。</w:t>
      </w:r>
    </w:p>
    <w:p w14:paraId="14034DA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（二）服务期满后，由乙方向甲方递交验收通知书，经甲方确认后，组织乙方进行验收。验收合格后，填写政府采购项目验收单作为对本次服务的最终认可。</w:t>
      </w:r>
    </w:p>
    <w:p w14:paraId="2395D3C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（三）验收依据：</w:t>
      </w:r>
    </w:p>
    <w:p w14:paraId="58EB077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1、本合同及附加文本；</w:t>
      </w:r>
    </w:p>
    <w:p w14:paraId="5003F3C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2、磋商文件、成交供应商的响应文件及澄清（承诺）函；</w:t>
      </w:r>
    </w:p>
    <w:p w14:paraId="1C5BCBD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3、国家相应的标准、规范。</w:t>
      </w:r>
    </w:p>
    <w:p w14:paraId="1A94085B">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十一、违约责任</w:t>
      </w:r>
    </w:p>
    <w:p w14:paraId="47DF1B5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（一）按《中华人民共和国民法典》中的相关条款执行。</w:t>
      </w:r>
    </w:p>
    <w:p w14:paraId="717E3AC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乙方提供服务不能满足甲方采购要求，甲方有权解除本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517AACA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如乙方不能按期完成工作任务，每逾期1日，乙方应按合同总金额的0.2%向甲方支付违约金，违约金累计不超过合同总金额的5%，逾期超过25天的，甲方有权单方面解除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0099572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四）如合同因乙方违约导致解除的，乙方除应承担违约责任赔偿甲方损失外，已收的款项应退还甲方；甲方因乙方违约而产生的维权费用，包括但不局限于诉讼费、律师费、保全费、鉴定费、评估费、公证费、差旅费等费用，均由乙方承担。</w:t>
      </w:r>
    </w:p>
    <w:p w14:paraId="364C3EB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十二、合同争议解决的方式</w:t>
      </w:r>
    </w:p>
    <w:p w14:paraId="205AF69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本合同在履行过程中发生的争议，由甲、乙双方当事人协商解决，协商不成的按下列第</w:t>
      </w:r>
      <w:r>
        <w:rPr>
          <w:rFonts w:hint="eastAsia" w:ascii="仿宋_GB2312" w:hAnsi="仿宋_GB2312" w:eastAsia="仿宋_GB2312" w:cs="仿宋_GB2312"/>
          <w:color w:val="auto"/>
          <w:sz w:val="28"/>
          <w:szCs w:val="28"/>
          <w:highlight w:val="none"/>
          <w:u w:val="single"/>
          <w:lang w:val="en-US" w:eastAsia="zh-CN"/>
        </w:rPr>
        <w:t>（二）</w:t>
      </w:r>
      <w:r>
        <w:rPr>
          <w:rFonts w:hint="eastAsia" w:ascii="仿宋_GB2312" w:hAnsi="仿宋_GB2312" w:eastAsia="仿宋_GB2312" w:cs="仿宋_GB2312"/>
          <w:color w:val="auto"/>
          <w:sz w:val="28"/>
          <w:szCs w:val="28"/>
          <w:highlight w:val="none"/>
          <w:lang w:val="en-US" w:eastAsia="zh-CN"/>
        </w:rPr>
        <w:t>种方式解决：</w:t>
      </w:r>
    </w:p>
    <w:p w14:paraId="054F826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（一）提交西安仲裁委员会仲裁；</w:t>
      </w:r>
    </w:p>
    <w:p w14:paraId="5294019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（二）依法向甲方所在地人民法院起诉。</w:t>
      </w:r>
    </w:p>
    <w:p w14:paraId="353CFEC3">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十三、合同生效</w:t>
      </w:r>
    </w:p>
    <w:p w14:paraId="024A081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（一）本合同须经甲、乙双方的法定代表人（授权代表）在合同书上签字并加盖本单位公章后正式生效。</w:t>
      </w:r>
    </w:p>
    <w:p w14:paraId="1BAA603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（二）合同生效后，甲、乙双方须严格执行本合同条款的规定，全面履行合同，违者按《中华人民共和国民法典》的有关规定承担相应责任。</w:t>
      </w:r>
    </w:p>
    <w:p w14:paraId="58F81E8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（三）本合同一式</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份，甲乙双方各执</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份。</w:t>
      </w:r>
    </w:p>
    <w:p w14:paraId="772CFAE1">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highlight w:val="none"/>
          <w:lang w:val="en-US" w:eastAsia="zh-CN"/>
        </w:rPr>
        <w:t>（四）本合同如有未尽事宜，甲、乙双方协商解决</w:t>
      </w:r>
      <w:r>
        <w:rPr>
          <w:rFonts w:hint="eastAsia" w:ascii="仿宋_GB2312" w:hAnsi="仿宋_GB2312" w:eastAsia="仿宋_GB2312" w:cs="仿宋_GB2312"/>
          <w:sz w:val="28"/>
          <w:szCs w:val="28"/>
        </w:rPr>
        <w:t>。</w:t>
      </w:r>
    </w:p>
    <w:p w14:paraId="48068CBD">
      <w:pPr>
        <w:pStyle w:val="7"/>
        <w:tabs>
          <w:tab w:val="center" w:pos="4153"/>
          <w:tab w:val="right" w:pos="8306"/>
          <w:tab w:val="clear" w:pos="4140"/>
          <w:tab w:val="clear" w:pos="8300"/>
        </w:tabs>
        <w:rPr>
          <w:rFonts w:ascii="仿宋_GB2312" w:hAnsi="仿宋_GB2312" w:eastAsia="仿宋_GB2312" w:cs="仿宋_GB2312"/>
          <w:sz w:val="28"/>
          <w:szCs w:val="28"/>
        </w:rPr>
      </w:pPr>
    </w:p>
    <w:tbl>
      <w:tblPr>
        <w:tblStyle w:val="13"/>
        <w:tblW w:w="0" w:type="auto"/>
        <w:jc w:val="center"/>
        <w:tblLayout w:type="fixed"/>
        <w:tblCellMar>
          <w:top w:w="0" w:type="dxa"/>
          <w:left w:w="108" w:type="dxa"/>
          <w:bottom w:w="0" w:type="dxa"/>
          <w:right w:w="108" w:type="dxa"/>
        </w:tblCellMar>
      </w:tblPr>
      <w:tblGrid>
        <w:gridCol w:w="4201"/>
        <w:gridCol w:w="4202"/>
      </w:tblGrid>
      <w:tr w14:paraId="7ADEF8A1">
        <w:tblPrEx>
          <w:tblCellMar>
            <w:top w:w="0" w:type="dxa"/>
            <w:left w:w="108" w:type="dxa"/>
            <w:bottom w:w="0" w:type="dxa"/>
            <w:right w:w="108" w:type="dxa"/>
          </w:tblCellMar>
        </w:tblPrEx>
        <w:trPr>
          <w:trHeight w:val="567" w:hRule="exact"/>
          <w:jc w:val="center"/>
        </w:trPr>
        <w:tc>
          <w:tcPr>
            <w:tcW w:w="4201" w:type="dxa"/>
            <w:noWrap w:val="0"/>
            <w:vAlign w:val="center"/>
          </w:tcPr>
          <w:p w14:paraId="304D2A9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4499C4A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AD84AED">
        <w:tblPrEx>
          <w:tblCellMar>
            <w:top w:w="0" w:type="dxa"/>
            <w:left w:w="108" w:type="dxa"/>
            <w:bottom w:w="0" w:type="dxa"/>
            <w:right w:w="108" w:type="dxa"/>
          </w:tblCellMar>
        </w:tblPrEx>
        <w:trPr>
          <w:trHeight w:val="567" w:hRule="exact"/>
          <w:jc w:val="center"/>
        </w:trPr>
        <w:tc>
          <w:tcPr>
            <w:tcW w:w="4201" w:type="dxa"/>
            <w:noWrap w:val="0"/>
            <w:vAlign w:val="center"/>
          </w:tcPr>
          <w:p w14:paraId="25776D00">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3006333B">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05448D3B">
        <w:tblPrEx>
          <w:tblCellMar>
            <w:top w:w="0" w:type="dxa"/>
            <w:left w:w="108" w:type="dxa"/>
            <w:bottom w:w="0" w:type="dxa"/>
            <w:right w:w="108" w:type="dxa"/>
          </w:tblCellMar>
        </w:tblPrEx>
        <w:trPr>
          <w:trHeight w:val="567" w:hRule="exact"/>
          <w:jc w:val="center"/>
        </w:trPr>
        <w:tc>
          <w:tcPr>
            <w:tcW w:w="4201" w:type="dxa"/>
            <w:noWrap w:val="0"/>
            <w:vAlign w:val="center"/>
          </w:tcPr>
          <w:p w14:paraId="6899C4C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13194C5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E303375">
        <w:tblPrEx>
          <w:tblCellMar>
            <w:top w:w="0" w:type="dxa"/>
            <w:left w:w="108" w:type="dxa"/>
            <w:bottom w:w="0" w:type="dxa"/>
            <w:right w:w="108" w:type="dxa"/>
          </w:tblCellMar>
        </w:tblPrEx>
        <w:trPr>
          <w:trHeight w:val="567" w:hRule="exact"/>
          <w:jc w:val="center"/>
        </w:trPr>
        <w:tc>
          <w:tcPr>
            <w:tcW w:w="4201" w:type="dxa"/>
            <w:noWrap w:val="0"/>
            <w:vAlign w:val="center"/>
          </w:tcPr>
          <w:p w14:paraId="62A19121">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280DA8C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479507CB">
        <w:tblPrEx>
          <w:tblCellMar>
            <w:top w:w="0" w:type="dxa"/>
            <w:left w:w="108" w:type="dxa"/>
            <w:bottom w:w="0" w:type="dxa"/>
            <w:right w:w="108" w:type="dxa"/>
          </w:tblCellMar>
        </w:tblPrEx>
        <w:trPr>
          <w:trHeight w:val="567" w:hRule="exact"/>
          <w:jc w:val="center"/>
        </w:trPr>
        <w:tc>
          <w:tcPr>
            <w:tcW w:w="4201" w:type="dxa"/>
            <w:noWrap w:val="0"/>
            <w:vAlign w:val="center"/>
          </w:tcPr>
          <w:p w14:paraId="5C86B54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2B686AD0">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3060D77D">
        <w:tblPrEx>
          <w:tblCellMar>
            <w:top w:w="0" w:type="dxa"/>
            <w:left w:w="108" w:type="dxa"/>
            <w:bottom w:w="0" w:type="dxa"/>
            <w:right w:w="108" w:type="dxa"/>
          </w:tblCellMar>
        </w:tblPrEx>
        <w:trPr>
          <w:trHeight w:val="567" w:hRule="exact"/>
          <w:jc w:val="center"/>
        </w:trPr>
        <w:tc>
          <w:tcPr>
            <w:tcW w:w="4201" w:type="dxa"/>
            <w:noWrap w:val="0"/>
            <w:vAlign w:val="center"/>
          </w:tcPr>
          <w:p w14:paraId="16FD4D5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c>
          <w:tcPr>
            <w:tcW w:w="4202" w:type="dxa"/>
            <w:noWrap w:val="0"/>
            <w:vAlign w:val="center"/>
          </w:tcPr>
          <w:p w14:paraId="00BE403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lang w:val="en-US" w:eastAsia="zh-CN"/>
              </w:rPr>
              <w:t>或</w:t>
            </w:r>
            <w:r>
              <w:rPr>
                <w:rFonts w:hint="eastAsia" w:ascii="仿宋_GB2312" w:hAnsi="仿宋_GB2312" w:eastAsia="仿宋_GB2312" w:cs="仿宋_GB2312"/>
                <w:spacing w:val="-20"/>
                <w:sz w:val="28"/>
                <w:szCs w:val="28"/>
              </w:rPr>
              <w:t>被授权代表：</w:t>
            </w:r>
          </w:p>
        </w:tc>
      </w:tr>
      <w:tr w14:paraId="0F9B1425">
        <w:tblPrEx>
          <w:tblCellMar>
            <w:top w:w="0" w:type="dxa"/>
            <w:left w:w="108" w:type="dxa"/>
            <w:bottom w:w="0" w:type="dxa"/>
            <w:right w:w="108" w:type="dxa"/>
          </w:tblCellMar>
        </w:tblPrEx>
        <w:trPr>
          <w:trHeight w:val="567" w:hRule="exact"/>
          <w:jc w:val="center"/>
        </w:trPr>
        <w:tc>
          <w:tcPr>
            <w:tcW w:w="4201" w:type="dxa"/>
            <w:noWrap w:val="0"/>
            <w:vAlign w:val="center"/>
          </w:tcPr>
          <w:p w14:paraId="0C43391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381ED113">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4921C625">
        <w:tblPrEx>
          <w:tblCellMar>
            <w:top w:w="0" w:type="dxa"/>
            <w:left w:w="108" w:type="dxa"/>
            <w:bottom w:w="0" w:type="dxa"/>
            <w:right w:w="108" w:type="dxa"/>
          </w:tblCellMar>
        </w:tblPrEx>
        <w:trPr>
          <w:trHeight w:val="567" w:hRule="exact"/>
          <w:jc w:val="center"/>
        </w:trPr>
        <w:tc>
          <w:tcPr>
            <w:tcW w:w="4201" w:type="dxa"/>
            <w:noWrap w:val="0"/>
            <w:vAlign w:val="center"/>
          </w:tcPr>
          <w:p w14:paraId="3CA299B6">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28B6A22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1D467A8A">
        <w:tblPrEx>
          <w:tblCellMar>
            <w:top w:w="0" w:type="dxa"/>
            <w:left w:w="108" w:type="dxa"/>
            <w:bottom w:w="0" w:type="dxa"/>
            <w:right w:w="108" w:type="dxa"/>
          </w:tblCellMar>
        </w:tblPrEx>
        <w:trPr>
          <w:trHeight w:val="567" w:hRule="exact"/>
          <w:jc w:val="center"/>
        </w:trPr>
        <w:tc>
          <w:tcPr>
            <w:tcW w:w="4201" w:type="dxa"/>
            <w:noWrap w:val="0"/>
            <w:vAlign w:val="center"/>
          </w:tcPr>
          <w:p w14:paraId="32092AEA">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48B74B7D">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2E0F058F">
        <w:tblPrEx>
          <w:tblCellMar>
            <w:top w:w="0" w:type="dxa"/>
            <w:left w:w="108" w:type="dxa"/>
            <w:bottom w:w="0" w:type="dxa"/>
            <w:right w:w="108" w:type="dxa"/>
          </w:tblCellMar>
        </w:tblPrEx>
        <w:trPr>
          <w:trHeight w:val="567" w:hRule="exact"/>
          <w:jc w:val="center"/>
        </w:trPr>
        <w:tc>
          <w:tcPr>
            <w:tcW w:w="4201" w:type="dxa"/>
            <w:noWrap w:val="0"/>
            <w:vAlign w:val="center"/>
          </w:tcPr>
          <w:p w14:paraId="1BF2D78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693EE1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0C675349"/>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B3E6727-05D3-46A1-906E-65B3122D00C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66A6B370-FCBA-4A95-B0E8-ECC5A55D72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2680F16"/>
    <w:rsid w:val="06044D8E"/>
    <w:rsid w:val="071938B9"/>
    <w:rsid w:val="09146580"/>
    <w:rsid w:val="0CF24C32"/>
    <w:rsid w:val="0DA008CC"/>
    <w:rsid w:val="0EBB3568"/>
    <w:rsid w:val="0EC60B07"/>
    <w:rsid w:val="10332904"/>
    <w:rsid w:val="10CF4970"/>
    <w:rsid w:val="10F63A27"/>
    <w:rsid w:val="13A84D98"/>
    <w:rsid w:val="14561BE7"/>
    <w:rsid w:val="172B4FA4"/>
    <w:rsid w:val="192A37C4"/>
    <w:rsid w:val="198577DD"/>
    <w:rsid w:val="19966094"/>
    <w:rsid w:val="1BBA11A7"/>
    <w:rsid w:val="1CA80820"/>
    <w:rsid w:val="1D6E70FD"/>
    <w:rsid w:val="21665943"/>
    <w:rsid w:val="244871F4"/>
    <w:rsid w:val="25295AB7"/>
    <w:rsid w:val="274E2D73"/>
    <w:rsid w:val="27EF733B"/>
    <w:rsid w:val="292902AA"/>
    <w:rsid w:val="293840E8"/>
    <w:rsid w:val="29BB6BC2"/>
    <w:rsid w:val="2F1025C8"/>
    <w:rsid w:val="30104537"/>
    <w:rsid w:val="313868D1"/>
    <w:rsid w:val="325B49C3"/>
    <w:rsid w:val="326A7D77"/>
    <w:rsid w:val="33EF3E56"/>
    <w:rsid w:val="39094D4C"/>
    <w:rsid w:val="39DC5D59"/>
    <w:rsid w:val="3CCE5611"/>
    <w:rsid w:val="3CE71A85"/>
    <w:rsid w:val="412A6A1E"/>
    <w:rsid w:val="414032D5"/>
    <w:rsid w:val="49B513A8"/>
    <w:rsid w:val="4EC118A7"/>
    <w:rsid w:val="4F1C52C5"/>
    <w:rsid w:val="4F7D74A2"/>
    <w:rsid w:val="4FDA2485"/>
    <w:rsid w:val="54F63A8A"/>
    <w:rsid w:val="5C7E1FD1"/>
    <w:rsid w:val="5D3B49BA"/>
    <w:rsid w:val="60E414E6"/>
    <w:rsid w:val="61E5759F"/>
    <w:rsid w:val="62381ED1"/>
    <w:rsid w:val="62BA5ECF"/>
    <w:rsid w:val="678B7CBF"/>
    <w:rsid w:val="696F3399"/>
    <w:rsid w:val="734E36BE"/>
    <w:rsid w:val="741C09D0"/>
    <w:rsid w:val="74343D24"/>
    <w:rsid w:val="764F97C9"/>
    <w:rsid w:val="77CB499F"/>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1"/>
    </w:rPr>
  </w:style>
  <w:style w:type="paragraph" w:styleId="3">
    <w:name w:val="annotation text"/>
    <w:basedOn w:val="1"/>
    <w:autoRedefine/>
    <w:qFormat/>
    <w:uiPriority w:val="0"/>
    <w:pPr>
      <w:jc w:val="left"/>
    </w:pPr>
  </w:style>
  <w:style w:type="paragraph" w:styleId="4">
    <w:name w:val="Body Text"/>
    <w:basedOn w:val="1"/>
    <w:next w:val="1"/>
    <w:autoRedefine/>
    <w:qFormat/>
    <w:uiPriority w:val="99"/>
    <w:pPr>
      <w:jc w:val="left"/>
    </w:pPr>
    <w:rPr>
      <w:kern w:val="0"/>
    </w:rPr>
  </w:style>
  <w:style w:type="paragraph" w:styleId="5">
    <w:name w:val="Plain Text"/>
    <w:basedOn w:val="1"/>
    <w:autoRedefine/>
    <w:qFormat/>
    <w:uiPriority w:val="0"/>
    <w:rPr>
      <w:rFonts w:ascii="宋体" w:hAnsi="Courier New"/>
      <w:kern w:val="0"/>
      <w:sz w:val="20"/>
    </w:rPr>
  </w:style>
  <w:style w:type="paragraph" w:styleId="6">
    <w:name w:val="Balloon Text"/>
    <w:basedOn w:val="1"/>
    <w:link w:val="18"/>
    <w:autoRedefine/>
    <w:qFormat/>
    <w:uiPriority w:val="0"/>
    <w:rPr>
      <w:sz w:val="18"/>
      <w:szCs w:val="18"/>
    </w:rPr>
  </w:style>
  <w:style w:type="paragraph" w:styleId="7">
    <w:name w:val="footer"/>
    <w:basedOn w:val="1"/>
    <w:autoRedefine/>
    <w:qFormat/>
    <w:uiPriority w:val="0"/>
    <w:pPr>
      <w:tabs>
        <w:tab w:val="center" w:pos="4140"/>
        <w:tab w:val="right" w:pos="8300"/>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tabs>
        <w:tab w:val="right" w:leader="dot" w:pos="9060"/>
      </w:tabs>
      <w:spacing w:line="360" w:lineRule="auto"/>
    </w:p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4"/>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8"/>
    <w:autoRedefine/>
    <w:qFormat/>
    <w:uiPriority w:val="0"/>
    <w:rPr>
      <w:kern w:val="2"/>
      <w:sz w:val="18"/>
      <w:szCs w:val="18"/>
    </w:rPr>
  </w:style>
  <w:style w:type="character" w:customStyle="1" w:styleId="18">
    <w:name w:val="批注框文本 Char"/>
    <w:basedOn w:val="15"/>
    <w:link w:val="6"/>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5</Pages>
  <Words>2137</Words>
  <Characters>2173</Characters>
  <Lines>12</Lines>
  <Paragraphs>3</Paragraphs>
  <TotalTime>0</TotalTime>
  <ScaleCrop>false</ScaleCrop>
  <LinksUpToDate>false</LinksUpToDate>
  <CharactersWithSpaces>2272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2025-09-12T01:45:49Z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