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版本号：CT-ZB00-181-202520250911001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西安市中小学教师及校园长深化课程教学改革能力提升培训项目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CT-ZB00-181-2025</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西安市中小学教师及校园长深化课程教学改革能力提升培训项目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CT-ZB00-181-2025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西安市中小学教师及校园长深化课程教学改革能力提升培训项目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加强科学教育是贯彻党的教育方针的必然要求，是落实立德树人根本任务的重要途径，是培育国家战略科技力量的基础支撑。以国家关于深化教育改革、全面提升科学教育质量的相关政策为指导，旨在帮助初中物化生学科教师进一步提升科学教育教学能力。造就一批具备先进科学教育理念、成熟教学模式，且高素质专业化创新型的科学教育骨干教师，使其成为为学、为事、为人的学科“引路人”。推动骨干教师成长为区域科学教育改革的核心力量，承担起教学创新引领者、科学教育研究者、实践探索示范者等重要角色，充分发挥示范引领与辐射带动作用，带动初中物化生教师队伍整体素质提升，促进西安市基础教育阶段科学教育的高质量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采购包1（西安市中小学教师及校园长深化课程教学改革能力提升培训项目）：属于专门面向中小企业采购。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1.营业执照等主体资格证明文件提供统一社会信用代码的营业执照或其他组织经营的合法凭证或自然人的提供身份证明文件。2.财务状况报告提供具有财务审计资质单位出具的2024年度经审计的完整有效财务报告或其基本账户银行出具的资信证明或财政部门认可的政府采购专业担保机构出具的担保函，以上形式的证明资料提供任何一种即可。3.社保缴纳证明提供已缴存的2025年01月01日以来任意时段社会保障资金缴存单据或社保机构开具的社会保险参保缴费情况证明。成立时间至提交响应文件截止时间不足一个月或依法不需要缴纳社会保障资金的供应商应提供相关文件证明。4.税收缴纳证明提供已缴纳的2025年01月01日以来任意时段的纳税证明或完税证明，纳税证明或完税证明上应有代收机构或税务机关的公章或业务专用章。依法免税的供应商应提供相关文件证明。5.书面声明（1）出具履行合同所必需的设备和专业技术能力的书面声明；（2）参加政府采购活动前三年内，在经营活动中没有重大违法记录的书面声明。</w:t>
      </w:r>
    </w:p>
    <w:p>
      <w:pPr>
        <w:pStyle w:val="null3"/>
      </w:pPr>
      <w:r>
        <w:rPr>
          <w:rFonts w:ascii="仿宋_GB2312" w:hAnsi="仿宋_GB2312" w:cs="仿宋_GB2312" w:eastAsia="仿宋_GB2312"/>
        </w:rPr>
        <w:t>2、信用证明：供应商在“信用中国”（www.creditchina.gov.cn）网站上未被列入严重失信主体名单、重大税收违法失信主体名单；“中国执行信息公开网”（http：//zxgk.court.gov.cn/shixin/）网站上未被列入失信被执行人名单；“中国政府采购网（www.ccgp.gov.cn）”上未被列入政府采购严重违法失信行为记录名单。</w:t>
      </w:r>
    </w:p>
    <w:p>
      <w:pPr>
        <w:pStyle w:val="null3"/>
      </w:pPr>
      <w:r>
        <w:rPr>
          <w:rFonts w:ascii="仿宋_GB2312" w:hAnsi="仿宋_GB2312" w:cs="仿宋_GB2312" w:eastAsia="仿宋_GB2312"/>
        </w:rPr>
        <w:t>3、法定代表人授权书：法定代表人参加磋商的，须提供法定代表人身份证明；法定代表人授权他人参加磋商的，须提供法定代表人授权书及被授权人身份证，并且提供授权代表截止磋商前六个月内任意一个月本单位社保缴纳证明（法人参加只需提供法定代表人身份证明并与营业执照上信息一致）。</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西安市凤城八路109号市政府6号楼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同秀秀、王超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13201690885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号）、国家发展改革委办公厅《关于招标代理服务收费有关问题的通知》（发改办价格［2003］857号）及国家发展改革委《关于降低部分建设项目收费标准规范收费行为等有关问题的通知》（发改价格[2011]534号）规定的标准计取（以成交金额结算）。 代理服务费缴纳账号： 账户名称：中昕国际项目管理有限公司 开户行：中国建设银行股份有限公司西安文景路支行 银行账号：61050178150000000278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采购人要求，依据现场实际需要，确保本项目圆满结束。2.服务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联系人：同秀秀、王超</w:t>
      </w:r>
    </w:p>
    <w:p>
      <w:pPr>
        <w:pStyle w:val="null3"/>
      </w:pPr>
      <w:r>
        <w:rPr>
          <w:rFonts w:ascii="仿宋_GB2312" w:hAnsi="仿宋_GB2312" w:cs="仿宋_GB2312" w:eastAsia="仿宋_GB2312"/>
        </w:rPr>
        <w:t>联系电话：13201690885</w:t>
      </w:r>
    </w:p>
    <w:p>
      <w:pPr>
        <w:pStyle w:val="null3"/>
      </w:pPr>
      <w:r>
        <w:rPr>
          <w:rFonts w:ascii="仿宋_GB2312" w:hAnsi="仿宋_GB2312" w:cs="仿宋_GB2312" w:eastAsia="仿宋_GB2312"/>
        </w:rPr>
        <w:t>地址：西安经济技术开发区凤城十二路首创禧悦里25幢A座16层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加强科学教育是贯彻党的教育方针的必然要求，是落实立德树人根本任务的重要途径，是培育国家战略科技力量的基础支撑。以国家关于深化教育改革、全面提升科学教育质量的相关政策为指导，旨在帮助初中物化生学科教师进一步提升科学教育教学能力。造就一批具备先进科学教育理念、成熟教学模式，且高素质专业化创新型的科学教育骨干教师，使其成为为学、为事、为人的学科“引路人”。推动骨干教师成长为区域科学教育改革的核心力量，承担起教学创新引领者、科学教育研究者、实践探索示范者等重要角色，充分发挥示范引领与辐射带动作用，带动初中物化生教师队伍整体素质提升，促进西安市基础教育阶段科学教育的高质量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西安市中小学教师及校园长深化课程教学改革能力提升培训项目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标的名称：西安市中小学教师及校园长深化课程教学改革能力提升培训项目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w:t>
            </w:r>
            <w:r>
              <w:rPr>
                <w:rFonts w:ascii="仿宋_GB2312" w:hAnsi="仿宋_GB2312" w:cs="仿宋_GB2312" w:eastAsia="仿宋_GB2312"/>
                <w:sz w:val="24"/>
              </w:rPr>
              <w:t>项目需求</w:t>
            </w:r>
          </w:p>
          <w:p>
            <w:pPr>
              <w:pStyle w:val="null3"/>
            </w:pPr>
            <w:r>
              <w:rPr>
                <w:rFonts w:ascii="仿宋_GB2312" w:hAnsi="仿宋_GB2312" w:cs="仿宋_GB2312" w:eastAsia="仿宋_GB2312"/>
                <w:sz w:val="24"/>
              </w:rPr>
              <w:t>1.培训对象：中小学骨干教师</w:t>
            </w:r>
          </w:p>
          <w:p>
            <w:pPr>
              <w:pStyle w:val="null3"/>
            </w:pPr>
            <w:r>
              <w:rPr>
                <w:rFonts w:ascii="仿宋_GB2312" w:hAnsi="仿宋_GB2312" w:cs="仿宋_GB2312" w:eastAsia="仿宋_GB2312"/>
                <w:sz w:val="24"/>
              </w:rPr>
              <w:t>2.培训人数：400人，分批开展。</w:t>
            </w:r>
          </w:p>
          <w:p>
            <w:pPr>
              <w:pStyle w:val="null3"/>
            </w:pPr>
            <w:r>
              <w:rPr>
                <w:rFonts w:ascii="仿宋_GB2312" w:hAnsi="仿宋_GB2312" w:cs="仿宋_GB2312" w:eastAsia="仿宋_GB2312"/>
                <w:sz w:val="24"/>
              </w:rPr>
              <w:t>3.培训时间：2025年12月31日之前</w:t>
            </w:r>
          </w:p>
          <w:p>
            <w:pPr>
              <w:pStyle w:val="null3"/>
            </w:pPr>
            <w:r>
              <w:rPr>
                <w:rFonts w:ascii="仿宋_GB2312" w:hAnsi="仿宋_GB2312" w:cs="仿宋_GB2312" w:eastAsia="仿宋_GB2312"/>
                <w:sz w:val="24"/>
              </w:rPr>
              <w:t>4.培训形式：集中培训</w:t>
            </w:r>
          </w:p>
          <w:p>
            <w:pPr>
              <w:pStyle w:val="null3"/>
            </w:pPr>
            <w:r>
              <w:rPr>
                <w:rFonts w:ascii="仿宋_GB2312" w:hAnsi="仿宋_GB2312" w:cs="仿宋_GB2312" w:eastAsia="仿宋_GB2312"/>
                <w:sz w:val="24"/>
              </w:rPr>
              <w:t>5.培训内容：立足本学科实际教学情况，从科学教育理念更新、科学思维培养方法、跨学科融合教学技巧、实验教学创新策略等维度入手。创新培训模式，结合专家讲座、教学观摩等活动，全面赋能教师跨学科教学与实验教学能力，共同探索大科学教育的优质发展路径。</w:t>
            </w:r>
          </w:p>
          <w:p>
            <w:pPr>
              <w:pStyle w:val="null3"/>
            </w:pPr>
            <w:r>
              <w:rPr>
                <w:rFonts w:ascii="仿宋_GB2312" w:hAnsi="仿宋_GB2312" w:cs="仿宋_GB2312" w:eastAsia="仿宋_GB2312"/>
                <w:sz w:val="24"/>
              </w:rPr>
              <w:t>二、</w:t>
            </w:r>
            <w:r>
              <w:rPr>
                <w:rFonts w:ascii="仿宋_GB2312" w:hAnsi="仿宋_GB2312" w:cs="仿宋_GB2312" w:eastAsia="仿宋_GB2312"/>
                <w:sz w:val="24"/>
              </w:rPr>
              <w:t>服务要求</w:t>
            </w:r>
          </w:p>
          <w:p>
            <w:pPr>
              <w:pStyle w:val="null3"/>
            </w:pPr>
            <w:r>
              <w:rPr>
                <w:rFonts w:ascii="仿宋_GB2312" w:hAnsi="仿宋_GB2312" w:cs="仿宋_GB2312" w:eastAsia="仿宋_GB2312"/>
                <w:sz w:val="24"/>
              </w:rPr>
              <w:t>1.聚焦培训主题</w:t>
            </w:r>
          </w:p>
          <w:p>
            <w:pPr>
              <w:pStyle w:val="null3"/>
            </w:pPr>
            <w:r>
              <w:rPr>
                <w:rFonts w:ascii="仿宋_GB2312" w:hAnsi="仿宋_GB2312" w:cs="仿宋_GB2312" w:eastAsia="仿宋_GB2312"/>
                <w:sz w:val="24"/>
              </w:rPr>
              <w:t>认真研读教育部、省教育厅等文件要求，遵循教师成长规律，以解决问题、提升能力为项目设计的出发点和落脚点，突出问题导向和成果导向，聚焦不同发展阶段教师应具备的核心素养与关键能力，分层分类构建培训课程体系，应用为本，确保教师有成长感和获得感。</w:t>
            </w:r>
          </w:p>
          <w:p>
            <w:pPr>
              <w:pStyle w:val="null3"/>
            </w:pPr>
            <w:r>
              <w:rPr>
                <w:rFonts w:ascii="仿宋_GB2312" w:hAnsi="仿宋_GB2312" w:cs="仿宋_GB2312" w:eastAsia="仿宋_GB2312"/>
                <w:sz w:val="24"/>
              </w:rPr>
              <w:t>2.完善教师培训内容</w:t>
            </w:r>
          </w:p>
          <w:p>
            <w:pPr>
              <w:pStyle w:val="null3"/>
            </w:pPr>
            <w:r>
              <w:rPr>
                <w:rFonts w:ascii="仿宋_GB2312" w:hAnsi="仿宋_GB2312" w:cs="仿宋_GB2312" w:eastAsia="仿宋_GB2312"/>
                <w:sz w:val="24"/>
              </w:rPr>
              <w:t>立足西安市教师队伍建设实际，有针对性地设置培训课程，少理论、重实践，注重新课标新教材和课堂教学技能、加大一线授课专家比例。</w:t>
            </w:r>
          </w:p>
          <w:p>
            <w:pPr>
              <w:pStyle w:val="null3"/>
            </w:pPr>
            <w:r>
              <w:rPr>
                <w:rFonts w:ascii="仿宋_GB2312" w:hAnsi="仿宋_GB2312" w:cs="仿宋_GB2312" w:eastAsia="仿宋_GB2312"/>
                <w:sz w:val="24"/>
              </w:rPr>
              <w:t>3.创新教师培训模式</w:t>
            </w:r>
          </w:p>
          <w:p>
            <w:pPr>
              <w:pStyle w:val="null3"/>
            </w:pPr>
            <w:r>
              <w:rPr>
                <w:rFonts w:ascii="仿宋_GB2312" w:hAnsi="仿宋_GB2312" w:cs="仿宋_GB2312" w:eastAsia="仿宋_GB2312"/>
                <w:sz w:val="24"/>
              </w:rPr>
              <w:t>要将互联网、大数据、虚拟现实、人工智能等新技术融合运用到培训中，实施线上培训和线下培训相结合，训前、训中和训后相统一的混合动态延伸培训新模式。</w:t>
            </w:r>
          </w:p>
          <w:p>
            <w:pPr>
              <w:pStyle w:val="null3"/>
            </w:pPr>
            <w:r>
              <w:rPr>
                <w:rFonts w:ascii="仿宋_GB2312" w:hAnsi="仿宋_GB2312" w:cs="仿宋_GB2312" w:eastAsia="仿宋_GB2312"/>
                <w:sz w:val="24"/>
              </w:rPr>
              <w:t>4.实施培训效果评估。</w:t>
            </w:r>
          </w:p>
          <w:p>
            <w:pPr>
              <w:pStyle w:val="null3"/>
              <w:jc w:val="both"/>
            </w:pPr>
            <w:r>
              <w:rPr>
                <w:rFonts w:ascii="仿宋_GB2312" w:hAnsi="仿宋_GB2312" w:cs="仿宋_GB2312" w:eastAsia="仿宋_GB2312"/>
                <w:sz w:val="24"/>
              </w:rPr>
              <w:t>每个项目按照要求，择优提供培训成果案例，通过教学展示、培训反思、成果汇报、培训成果二次分享等多种形式呈现培训效果，并将培训效果相关材料于培训结束一个月内提供给甲方，作为评估培训效果的重要依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供应商根据服务要求自行响应，满足采购人服务要求。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自合同签订之日起至所有服务完成。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1.项目完成后，由甲方和乙方共同对项目进行整体验收。 2.其内容包括乙方是否按照甲方要求进行服务、是否在规定时间内服务完毕、服务工作是否存在失误。验收合格后，填写政府采购项目验收单、验收报告作为对本服务的最终认可。 3.乙方向甲方提供服务过程中的所有相关资料，以便甲方日后管理。 4.验收依据为竞争性磋商文件、磋商响应文件、澄清表（函）、政府采购合同及附件文本、国家相应的标准、规范。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项目结束验收完成后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2.投标人未按合同要求提供服务或服务质量不能满足技术要求，且在规定时间内未使采购人满意的，采购人有权解除合同，同时报请西安市财政局政府采购监管部门对其违约行为进行追究。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1.本项目通过电子化交易系统磋商，供应商需在电子化交易系统上传响应的文件。成交供应商领取成交通知书时，向采购代理机构提供一份正本纸质响应文件并签字盖章。 2.供应商应自磋商文件递交截止时间起至磋商结束，保持在线状态。 3.本项目专门面向中小企业采购，供应商应为中小微企业或监狱企业或残疾人福利性单位。</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提供具有财务审计资质单位出具的2024年度经审计的完整有效财务报告或其基本账户银行出具的资信证明或财政部门认可的政府采购专业担保机构出具的担保函，以上形式的证明资料提供任何一种即可。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供应商企业关系关联承诺书.docx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2.财务状况报告提供具有财务审计资质单位出具的2024年度经审计的完整有效财务报告或其基本账户银行出具的资信证明或财政部门认可的政府采购专业担保机构出具的担保函，以上形式的证明资料提供任何一种即可。3.社保缴纳证明提供已缴存的2025年01月01日以来任意时段社会保障资金缴存单据或社保机构开具的社会保险参保缴费情况证明。成立时间至提交响应文件截止时间不足一个月或依法不需要缴纳社会保障资金的供应商应提供相关文件证明。4.税收缴纳证明提供已缴纳的2025年01月01日以来任意时段的纳税证明或完税证明，纳税证明或完税证明上应有代收机构或税务机关的公章或业务专用章。依法免税的供应商应提供相关文件证明。5.书面声明（1）出具履行合同所必需的设备和专业技术能力的书面声明；（2）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在“信用中国”（www.creditchina.gov.cn）网站上未被列入严重失信主体名单、重大税收违法失信主体名单；“中国执行信息公开网”（http：//zxgk.court.gov.cn/shixin/）网站上未被列入失信被执行人名单；“中国政府采购网（www.ccgp.gov.cn）”上未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参加磋商的，须提供法定代表人身份证明；法定代表人授权他人参加磋商的，须提供法定代表人授权书及被授权人身份证，并且提供授权代表截止磋商前六个月内任意一个月本单位社保缴纳证明（法人参加只需提供法定代表人身份证明并与营业执照上信息一致）。</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响应文件的磋商响应函以及法定代表人授权委托书</w:t>
            </w:r>
          </w:p>
        </w:tc>
        <w:tc>
          <w:tcPr>
            <w:tcW w:type="dxa" w:w="3322"/>
          </w:tcPr>
          <w:p>
            <w:pPr>
              <w:pStyle w:val="null3"/>
            </w:pPr>
            <w:r>
              <w:rPr>
                <w:rFonts w:ascii="仿宋_GB2312" w:hAnsi="仿宋_GB2312" w:cs="仿宋_GB2312" w:eastAsia="仿宋_GB2312"/>
              </w:rPr>
              <w:t>二处均无遗漏，且所投项目名称、标段应与实际参与项目一致。</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1.磋商报价符合唯一性要求；2.磋商报价表填写符合要求；3.计量单位、报价货币均符合磋商文件要求；4.未超出采购预算或磋商文件规定的最高限价。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完全理解并接受《供应商廉洁自律承诺书》内容。</w:t>
            </w:r>
          </w:p>
        </w:tc>
        <w:tc>
          <w:tcPr>
            <w:tcW w:type="dxa" w:w="1661"/>
          </w:tcPr>
          <w:p>
            <w:pPr>
              <w:pStyle w:val="null3"/>
            </w:pPr>
            <w:r>
              <w:rPr>
                <w:rFonts w:ascii="仿宋_GB2312" w:hAnsi="仿宋_GB2312" w:cs="仿宋_GB2312" w:eastAsia="仿宋_GB2312"/>
              </w:rPr>
              <w:t>供应商廉洁自律承诺书.docx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供应商应提交的相关资格证明材料.docx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对项目的理解情况</w:t>
            </w:r>
          </w:p>
        </w:tc>
        <w:tc>
          <w:tcPr>
            <w:tcW w:type="dxa" w:w="2492"/>
          </w:tcPr>
          <w:p>
            <w:pPr>
              <w:pStyle w:val="null3"/>
            </w:pPr>
            <w:r>
              <w:rPr>
                <w:rFonts w:ascii="仿宋_GB2312" w:hAnsi="仿宋_GB2312" w:cs="仿宋_GB2312" w:eastAsia="仿宋_GB2312"/>
              </w:rPr>
              <w:t>针对本项目提供具体可行的整体服务方案，至少包括：①项目需求分析、②服务总体框架、③课程设计与研发能力、④服务流程、⑤项目组织(人员配置、岗位职责等方面进行阐述)。以上内容完整、描述详尽、符合项目实际采购需求的，得35分；每缺少一项扣7分；虽提供但所述内容有缺陷扣3.5分/处，每项内容最多扣7分，扣完为止。(缺陷是指：存在不适用项目实际情况的情形、凭空编造、方案中内容前后不一致、前后逻辑错误、涉及的规范及标准错误、地点区域错误、内容缺失、与采购需求不符等)。</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至少包括：①培训服务质量保障、②安全管理措施、③质量控制措施、④其他健全的内部管理制度。以上内容完整、描述详尽、符合项目实际采购需求的，得8分；每缺少一项扣2分；虽提供但所述内容有缺陷扣1分/处，每项内容最多扣2分，扣完为止。(缺陷是指：存在不适用项目实际情况的情形、凭空编造、方案中内容前后不一致、前后逻辑错误、涉及的规范及标准错误、地点区域错误、内容缺失、与采购需求不符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组织管理实施方案</w:t>
            </w:r>
          </w:p>
        </w:tc>
        <w:tc>
          <w:tcPr>
            <w:tcW w:type="dxa" w:w="2492"/>
          </w:tcPr>
          <w:p>
            <w:pPr>
              <w:pStyle w:val="null3"/>
            </w:pPr>
            <w:r>
              <w:rPr>
                <w:rFonts w:ascii="仿宋_GB2312" w:hAnsi="仿宋_GB2312" w:cs="仿宋_GB2312" w:eastAsia="仿宋_GB2312"/>
              </w:rPr>
              <w:t>至少包括：①平台混合研修（线上平台+线下实践）、②智能化功能（融合互联网、大数据、虚拟现实、人工智能等新技术）、③培训场地及人员组织、④培训流程、⑤培训持续跟踪服务。以上内容完整描述详尽、符合项目实际采购需求的，得10分；每缺少一项扣2分；虽提供但所述内容有缺陷扣1分处，每项内容最多扣2分；扣完为止。(缺陷是指：存在不适用项目实际情况的情形、凭空编造、方案中内容前后不一致、前后逻辑错误、涉及的规范及标准错误、地点区域错误内容缺失、与采购需求不符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应急管理方案</w:t>
            </w:r>
          </w:p>
        </w:tc>
        <w:tc>
          <w:tcPr>
            <w:tcW w:type="dxa" w:w="2492"/>
          </w:tcPr>
          <w:p>
            <w:pPr>
              <w:pStyle w:val="null3"/>
            </w:pPr>
            <w:r>
              <w:rPr>
                <w:rFonts w:ascii="仿宋_GB2312" w:hAnsi="仿宋_GB2312" w:cs="仿宋_GB2312" w:eastAsia="仿宋_GB2312"/>
              </w:rPr>
              <w:t>至少包括：①应急措施及流程、②人员和设备应对突发状况。以上内容完整、描述详尽、符合项目实际采购需求的，得4分；每缺少一项扣2分；虽提供但所述内容有缺陷扣1分/处，每项内容最多扣2分，扣完为止。(缺陷是指：存在不适用项目实际情况的情形、凭空编造、方案中内容前后不一致、前后逻辑错误、涉及的规范及标准错误、地点区域错误、内容缺失、与采购需求不符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根据供应商拟投入本项目的专家团队进行评审： 1、培训专家组负责人(1人)：具有①正高级职称，同时具有丰富一线教学和培训经验的知名专家，得8分；②副高级职称，同时具有丰富一线教学和培训经验的知名专家，得5分；③中级职称，同时具有丰富一线教学和培训经验的知名专家，得3分。本项最高得8分。 2、授课专家团队中（除培训专家组组长外），每有1名①正高级职称，同时具有丰富一线教学和培训经验的知名专家，得3分；②副高级职称，同时具有丰富一线教学和培训经验的知名专家，得2分；③中级职称，同时具有丰富一线教学和培训经验的知名专家，得1分；本项最高得12分。 注：①同一人员不可重复计分；②提供专家团队人员的职称证书复印件及具有丰富一线教学和培训经验的知名专家的相关证明材料并加盖供应商公章。 3、其他管理人员：每配置1名专职班主任的，得1.5分，最高得3分。 注：其他管理人员均为供应商单位的在职员工，提供在职证明材料复印件和身份证复印件并加盖供应商公章。</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2022年01月01日以来(以合同签订时间为准)，每提供1个类似业绩的，得2分，本项最高得10分。 注：(1)类似业绩是指：教师培训类服务业绩；(2)应提供合同复印件或中标(成交)通知书复印件并加盖供应商公章。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其价格进行价格评审。2.满足磋商文件实质性要求且最终报价最低的供应商的价格为磋商基准价，其价格分10分。3.磋商报价得分=（磋商基准价/最终磋商报价）×10的公式计算得分。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详见附件：近年业绩的有关证明材料.docx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详见附件：合同-深化课程教学改革能力提升.docx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