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版本号：YZZB-25054.3B120250911001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西安市胡家庙军干所八一、春节慰问品采购项目合同包3（春节慰问品采购包1）(二次)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YZZB-25054.3B1</w:t>
      </w:r>
      <w:r>
        <w:br/>
      </w:r>
      <w:r>
        <w:br/>
      </w:r>
      <w:r>
        <w:br/>
      </w:r>
    </w:p>
    <w:p>
      <w:pPr>
        <w:pStyle w:val="null3"/>
        <w:jc w:val="center"/>
        <w:outlineLvl w:val="2"/>
      </w:pPr>
      <w:r>
        <w:rPr>
          <w:rFonts w:ascii="仿宋_GB2312" w:hAnsi="仿宋_GB2312" w:cs="仿宋_GB2312" w:eastAsia="仿宋_GB2312"/>
          <w:sz w:val="28"/>
          <w:b/>
        </w:rPr>
        <w:t>西安市胡家庙军队离休退休干部休养所</w:t>
      </w:r>
    </w:p>
    <w:p>
      <w:pPr>
        <w:pStyle w:val="null3"/>
        <w:jc w:val="center"/>
        <w:outlineLvl w:val="2"/>
      </w:pPr>
      <w:r>
        <w:rPr>
          <w:rFonts w:ascii="仿宋_GB2312" w:hAnsi="仿宋_GB2312" w:cs="仿宋_GB2312" w:eastAsia="仿宋_GB2312"/>
          <w:sz w:val="28"/>
          <w:b/>
        </w:rPr>
        <w:t>易臻项目管理有限公司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易臻项目管理有限公司</w:t>
      </w:r>
      <w:r>
        <w:rPr>
          <w:rFonts w:ascii="仿宋_GB2312" w:hAnsi="仿宋_GB2312" w:cs="仿宋_GB2312" w:eastAsia="仿宋_GB2312"/>
        </w:rPr>
        <w:t>（以下简称“代理机构”）受</w:t>
      </w:r>
      <w:r>
        <w:rPr>
          <w:rFonts w:ascii="仿宋_GB2312" w:hAnsi="仿宋_GB2312" w:cs="仿宋_GB2312" w:eastAsia="仿宋_GB2312"/>
        </w:rPr>
        <w:t>西安市胡家庙军队离休退休干部休养所</w:t>
      </w:r>
      <w:r>
        <w:rPr>
          <w:rFonts w:ascii="仿宋_GB2312" w:hAnsi="仿宋_GB2312" w:cs="仿宋_GB2312" w:eastAsia="仿宋_GB2312"/>
        </w:rPr>
        <w:t>委托，拟对</w:t>
      </w:r>
      <w:r>
        <w:rPr>
          <w:rFonts w:ascii="仿宋_GB2312" w:hAnsi="仿宋_GB2312" w:cs="仿宋_GB2312" w:eastAsia="仿宋_GB2312"/>
        </w:rPr>
        <w:t>西安市胡家庙军干所八一、春节慰问品采购项目合同包3（春节慰问品采购包1）(二次)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YZZB-25054.3B1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西安市胡家庙军干所八一、春节慰问品采购项目合同包3（春节慰问品采购包1）(二次)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西安市胡家庙军干所八一、春节慰问品采购项目，需满足采购人要求，符合国家标准。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财务报告：提供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p>
    <w:p>
      <w:pPr>
        <w:pStyle w:val="null3"/>
      </w:pPr>
      <w:r>
        <w:rPr>
          <w:rFonts w:ascii="仿宋_GB2312" w:hAnsi="仿宋_GB2312" w:cs="仿宋_GB2312" w:eastAsia="仿宋_GB2312"/>
        </w:rPr>
        <w:t>3、纳税证明或完税证明：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p>
      <w:pPr>
        <w:pStyle w:val="null3"/>
      </w:pPr>
      <w:r>
        <w:rPr>
          <w:rFonts w:ascii="仿宋_GB2312" w:hAnsi="仿宋_GB2312" w:cs="仿宋_GB2312" w:eastAsia="仿宋_GB2312"/>
        </w:rPr>
        <w:t>4、社保缴纳证明：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p>
      <w:pPr>
        <w:pStyle w:val="null3"/>
      </w:pPr>
      <w:r>
        <w:rPr>
          <w:rFonts w:ascii="仿宋_GB2312" w:hAnsi="仿宋_GB2312" w:cs="仿宋_GB2312" w:eastAsia="仿宋_GB2312"/>
        </w:rPr>
        <w:t>5、提供具有履行本合同所必需的设备和专业技术能力的声明：提供具有履行本合同所必需的设备和专业技术能力的声明；</w:t>
      </w:r>
    </w:p>
    <w:p>
      <w:pPr>
        <w:pStyle w:val="null3"/>
      </w:pPr>
      <w:r>
        <w:rPr>
          <w:rFonts w:ascii="仿宋_GB2312" w:hAnsi="仿宋_GB2312" w:cs="仿宋_GB2312" w:eastAsia="仿宋_GB2312"/>
        </w:rPr>
        <w:t>6、参加政府采购活动前3年内在经营活动中没有重大违法记录的书面声明：出具参加政府采购活动前3年内在经营活动中没有重大违法记录的书面声明；</w:t>
      </w:r>
    </w:p>
    <w:p>
      <w:pPr>
        <w:pStyle w:val="null3"/>
      </w:pPr>
      <w:r>
        <w:rPr>
          <w:rFonts w:ascii="仿宋_GB2312" w:hAnsi="仿宋_GB2312" w:cs="仿宋_GB2312" w:eastAsia="仿宋_GB2312"/>
        </w:rPr>
        <w:t>7、法定代表人授权委托书：须提供法定代表人授权书（法定代表人或负责人直接投标，须提交法定代表人证明书）；</w:t>
      </w:r>
    </w:p>
    <w:p>
      <w:pPr>
        <w:pStyle w:val="null3"/>
      </w:pPr>
      <w:r>
        <w:rPr>
          <w:rFonts w:ascii="仿宋_GB2312" w:hAnsi="仿宋_GB2312" w:cs="仿宋_GB2312" w:eastAsia="仿宋_GB2312"/>
        </w:rPr>
        <w:t>8、供应商资质：供应商为代理商的提供《食品经营许可证》或《预包装食品经营者备案表》；投标人为生产厂家的提供《食品生产许可证》；</w:t>
      </w:r>
    </w:p>
    <w:p>
      <w:pPr>
        <w:pStyle w:val="null3"/>
      </w:pPr>
      <w:r>
        <w:rPr>
          <w:rFonts w:ascii="仿宋_GB2312" w:hAnsi="仿宋_GB2312" w:cs="仿宋_GB2312" w:eastAsia="仿宋_GB2312"/>
        </w:rPr>
        <w:t>9、信用信息：供应商在信用中国(www.creditchina.gov.cn)未被列入重大税收违法失信主体名单；在中国执行信息公开网(http://zxgk.court.gov.cn/shixin/)未被列入失信被执行人名单及在中国政府采购（www.ccgp.gov.cn）未被列入政府采购严重违法失信行为记录名单（处罚期限届满的除外，如相关失信记录已失效，供应商需提供相关证明资料）；</w:t>
      </w:r>
    </w:p>
    <w:p>
      <w:pPr>
        <w:pStyle w:val="null3"/>
      </w:pPr>
      <w:r>
        <w:rPr>
          <w:rFonts w:ascii="仿宋_GB2312" w:hAnsi="仿宋_GB2312" w:cs="仿宋_GB2312" w:eastAsia="仿宋_GB2312"/>
        </w:rPr>
        <w:t>10、本项目不接受联合体投标：本项目不接受联合体投标承诺书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西安市胡家庙军队离休退休干部休养所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西安市新城区长缨北路69号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张断霞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029-82522713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易臻项目管理有限公司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陕西省西安市曲江新区雁展路1111号莱安中心T7栋1005室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董青青/王恩全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029-88867482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采购包1：540,600.00元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考国家发展计划委员会计价格[2002]1980号、发改办价格［2003］857号规定，依据发改价格[2015]299号文件规定标准计取该项目的招标代理服务费，经双方协商，由成交供应商支付招标代理服务费，发放成交通知书时一次性付清。 2、代理费缴纳账户信息： 开户名称：易臻项目管理有限公司 纳税识别号：91610113MA6U006N1R 公司地址：陕西省西安市曲江新区雁展路1111号莱安中心T7栋1005室 18591917618 开户行及账号：西安银行股份有限公司含光路支行815011580000153990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西安市胡家庙军队离休退休干部休养所</w:t>
      </w:r>
      <w:r>
        <w:rPr>
          <w:rFonts w:ascii="仿宋_GB2312" w:hAnsi="仿宋_GB2312" w:cs="仿宋_GB2312" w:eastAsia="仿宋_GB2312"/>
        </w:rPr>
        <w:t>和</w:t>
      </w:r>
      <w:r>
        <w:rPr>
          <w:rFonts w:ascii="仿宋_GB2312" w:hAnsi="仿宋_GB2312" w:cs="仿宋_GB2312" w:eastAsia="仿宋_GB2312"/>
        </w:rPr>
        <w:t>易臻项目管理有限公司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西安市胡家庙军队离休退休干部休养所</w:t>
      </w:r>
      <w:r>
        <w:rPr>
          <w:rFonts w:ascii="仿宋_GB2312" w:hAnsi="仿宋_GB2312" w:cs="仿宋_GB2312" w:eastAsia="仿宋_GB2312"/>
        </w:rPr>
        <w:t>负责解释。除上述磋商文件内容，其他内容由</w:t>
      </w:r>
      <w:r>
        <w:rPr>
          <w:rFonts w:ascii="仿宋_GB2312" w:hAnsi="仿宋_GB2312" w:cs="仿宋_GB2312" w:eastAsia="仿宋_GB2312"/>
        </w:rPr>
        <w:t>易臻项目管理有限公司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易臻项目管理有限公司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自行组织验收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易臻项目管理有限公司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易臻项目管理有限公司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易臻项目管理有限公司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联系人：董青青/王恩全</w:t>
      </w:r>
    </w:p>
    <w:p>
      <w:pPr>
        <w:pStyle w:val="null3"/>
      </w:pPr>
      <w:r>
        <w:rPr>
          <w:rFonts w:ascii="仿宋_GB2312" w:hAnsi="仿宋_GB2312" w:cs="仿宋_GB2312" w:eastAsia="仿宋_GB2312"/>
        </w:rPr>
        <w:t>联系电话：029-88867482</w:t>
      </w:r>
    </w:p>
    <w:p>
      <w:pPr>
        <w:pStyle w:val="null3"/>
      </w:pPr>
      <w:r>
        <w:rPr>
          <w:rFonts w:ascii="仿宋_GB2312" w:hAnsi="仿宋_GB2312" w:cs="仿宋_GB2312" w:eastAsia="仿宋_GB2312"/>
        </w:rPr>
        <w:t>地址：陕西省西安市曲江新区雁展路1111号莱安中心T7栋1005室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西安市胡家庙军干所八一、春节慰问品采购项目，需满足采购人要求，符合国家标准。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540,600.00</w:t>
      </w:r>
    </w:p>
    <w:p>
      <w:pPr>
        <w:pStyle w:val="null3"/>
      </w:pPr>
      <w:r>
        <w:rPr>
          <w:rFonts w:ascii="仿宋_GB2312" w:hAnsi="仿宋_GB2312" w:cs="仿宋_GB2312" w:eastAsia="仿宋_GB2312"/>
        </w:rPr>
        <w:t>采购包最高限价（元）: 540,600.00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西安市胡家庙军干所八一、春节慰问品采购项目春节慰问品采购包1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540,600.00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标的名称：西安市胡家庙军干所八一、春节慰问品采购项目春节慰问品采购包1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1"/>
              <w:gridCol w:w="221"/>
              <w:gridCol w:w="2202"/>
            </w:tblGrid>
            <w:tr>
              <w:tc>
                <w:tcPr>
                  <w:tcW w:type="dxa" w:w="1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参数性质</w:t>
                  </w:r>
                </w:p>
              </w:tc>
              <w:tc>
                <w:tcPr>
                  <w:tcW w:type="dxa" w:w="2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一、采购内容</w:t>
                  </w:r>
                </w:p>
                <w:p>
                  <w:pPr>
                    <w:pStyle w:val="null3"/>
                    <w:jc w:val="both"/>
                  </w:pPr>
                  <w:r>
                    <w:rPr>
                      <w:rFonts w:ascii="仿宋_GB2312" w:hAnsi="仿宋_GB2312" w:cs="仿宋_GB2312" w:eastAsia="仿宋_GB2312"/>
                      <w:sz w:val="21"/>
                    </w:rPr>
                    <w:t>西安市胡家庙军干所八一、春节慰问品采购项目，本次采购为合同包3（春节慰问品采购包</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具体内容如下，</w:t>
                  </w:r>
                  <w:r>
                    <w:rPr>
                      <w:rFonts w:ascii="仿宋_GB2312" w:hAnsi="仿宋_GB2312" w:cs="仿宋_GB2312" w:eastAsia="仿宋_GB2312"/>
                      <w:sz w:val="21"/>
                    </w:rPr>
                    <w:t>“★”产品为核心产品。</w:t>
                  </w:r>
                </w:p>
                <w:tbl>
                  <w:tblPr>
                    <w:tblInd w:type="dxa" w:w="135"/>
                    <w:tblBorders>
                      <w:top w:val="none" w:color="000000" w:sz="4"/>
                      <w:left w:val="none" w:color="000000" w:sz="4"/>
                      <w:bottom w:val="none" w:color="000000" w:sz="4"/>
                      <w:right w:val="none" w:color="000000" w:sz="4"/>
                      <w:insideH w:val="none"/>
                      <w:insideV w:val="none"/>
                    </w:tblBorders>
                  </w:tblPr>
                  <w:tblGrid>
                    <w:gridCol w:w="228"/>
                    <w:gridCol w:w="130"/>
                    <w:gridCol w:w="259"/>
                    <w:gridCol w:w="134"/>
                    <w:gridCol w:w="675"/>
                    <w:gridCol w:w="134"/>
                    <w:gridCol w:w="206"/>
                    <w:gridCol w:w="219"/>
                  </w:tblGrid>
                  <w:tr>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采购包</w:t>
                        </w: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w:t>
                        </w:r>
                      </w:p>
                    </w:tc>
                    <w:tc>
                      <w:tcPr>
                        <w:tcW w:type="dxa" w:w="1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规格</w:t>
                        </w:r>
                      </w:p>
                    </w:tc>
                    <w:tc>
                      <w:tcPr>
                        <w:tcW w:type="dxa" w:w="6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参数</w:t>
                        </w:r>
                      </w:p>
                    </w:tc>
                    <w:tc>
                      <w:tcPr>
                        <w:tcW w:type="dxa" w:w="1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单位</w:t>
                        </w:r>
                      </w:p>
                    </w:tc>
                    <w:tc>
                      <w:tcPr>
                        <w:tcW w:type="dxa" w:w="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单价</w:t>
                        </w:r>
                        <w:r>
                          <w:rPr>
                            <w:rFonts w:ascii="仿宋_GB2312" w:hAnsi="仿宋_GB2312" w:cs="仿宋_GB2312" w:eastAsia="仿宋_GB2312"/>
                            <w:sz w:val="21"/>
                          </w:rPr>
                          <w:t>限价</w:t>
                        </w:r>
                        <w:r>
                          <w:rPr>
                            <w:rFonts w:ascii="仿宋_GB2312" w:hAnsi="仿宋_GB2312" w:cs="仿宋_GB2312" w:eastAsia="仿宋_GB2312"/>
                            <w:sz w:val="21"/>
                          </w:rPr>
                          <w:t>（元）</w:t>
                        </w:r>
                      </w:p>
                    </w:tc>
                  </w:tr>
                  <w:tr>
                    <w:tc>
                      <w:tcPr>
                        <w:tcW w:type="dxa" w:w="228"/>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西安市胡家庙军干所八一、春节慰问品采购项目春节慰问品采购包</w:t>
                        </w:r>
                        <w:r>
                          <w:rPr>
                            <w:rFonts w:ascii="仿宋_GB2312" w:hAnsi="仿宋_GB2312" w:cs="仿宋_GB2312" w:eastAsia="仿宋_GB2312"/>
                            <w:sz w:val="21"/>
                          </w:rPr>
                          <w:t>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大米</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≥5kg</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1、独立包装</w:t>
                        </w:r>
                      </w:p>
                      <w:p>
                        <w:pPr>
                          <w:pStyle w:val="null3"/>
                          <w:jc w:val="both"/>
                        </w:pPr>
                        <w:r>
                          <w:rPr>
                            <w:rFonts w:ascii="仿宋_GB2312" w:hAnsi="仿宋_GB2312" w:cs="仿宋_GB2312" w:eastAsia="仿宋_GB2312"/>
                            <w:sz w:val="21"/>
                          </w:rPr>
                          <w:t>2、符合GB/T 19266或GB/T 1354一级</w:t>
                        </w:r>
                        <w:r>
                          <w:rPr>
                            <w:rFonts w:ascii="仿宋_GB2312" w:hAnsi="仿宋_GB2312" w:cs="仿宋_GB2312" w:eastAsia="仿宋_GB2312"/>
                            <w:sz w:val="21"/>
                          </w:rPr>
                          <w:t>国家</w:t>
                        </w:r>
                        <w:r>
                          <w:rPr>
                            <w:rFonts w:ascii="仿宋_GB2312" w:hAnsi="仿宋_GB2312" w:cs="仿宋_GB2312" w:eastAsia="仿宋_GB2312"/>
                            <w:sz w:val="21"/>
                          </w:rPr>
                          <w:t>标准</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品种：长粒香米或五常大米</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袋</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2040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60</w:t>
                        </w:r>
                      </w:p>
                    </w:tc>
                  </w:tr>
                  <w:tr>
                    <w:tc>
                      <w:tcPr>
                        <w:tcW w:type="dxa" w:w="228"/>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“★”菜籽油</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≥5L</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1、非转基因；</w:t>
                        </w:r>
                      </w:p>
                      <w:p>
                        <w:pPr>
                          <w:pStyle w:val="null3"/>
                          <w:jc w:val="both"/>
                        </w:pPr>
                        <w:r>
                          <w:rPr>
                            <w:rFonts w:ascii="仿宋_GB2312" w:hAnsi="仿宋_GB2312" w:cs="仿宋_GB2312" w:eastAsia="仿宋_GB2312"/>
                            <w:sz w:val="21"/>
                          </w:rPr>
                          <w:t>2、工艺要求：物理压榨；</w:t>
                        </w:r>
                      </w:p>
                      <w:p>
                        <w:pPr>
                          <w:pStyle w:val="null3"/>
                          <w:jc w:val="both"/>
                        </w:pPr>
                        <w:r>
                          <w:rPr>
                            <w:rFonts w:ascii="仿宋_GB2312" w:hAnsi="仿宋_GB2312" w:cs="仿宋_GB2312" w:eastAsia="仿宋_GB2312"/>
                            <w:sz w:val="21"/>
                          </w:rPr>
                          <w:t>3、符合GB/T 1536</w:t>
                        </w:r>
                        <w:r>
                          <w:rPr>
                            <w:rFonts w:ascii="仿宋_GB2312" w:hAnsi="仿宋_GB2312" w:cs="仿宋_GB2312" w:eastAsia="仿宋_GB2312"/>
                            <w:sz w:val="21"/>
                          </w:rPr>
                          <w:t>国家</w:t>
                        </w:r>
                        <w:r>
                          <w:rPr>
                            <w:rFonts w:ascii="仿宋_GB2312" w:hAnsi="仿宋_GB2312" w:cs="仿宋_GB2312" w:eastAsia="仿宋_GB2312"/>
                            <w:sz w:val="21"/>
                          </w:rPr>
                          <w:t>标准</w:t>
                        </w:r>
                      </w:p>
                      <w:p>
                        <w:pPr>
                          <w:pStyle w:val="null3"/>
                          <w:jc w:val="both"/>
                        </w:pPr>
                        <w:r>
                          <w:rPr>
                            <w:rFonts w:ascii="仿宋_GB2312" w:hAnsi="仿宋_GB2312" w:cs="仿宋_GB2312" w:eastAsia="仿宋_GB2312"/>
                            <w:sz w:val="21"/>
                          </w:rPr>
                          <w:t>4、质量等级：一级</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、质量标准：具有正常植物油的色泽、透明度、气味和滋味，无焦臭、酸败及其他异味</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桶</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2040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105</w:t>
                        </w:r>
                      </w:p>
                    </w:tc>
                  </w:tr>
                  <w:tr>
                    <w:tc>
                      <w:tcPr>
                        <w:tcW w:type="dxa" w:w="228"/>
                        <w:vMerge/>
                        <w:tcBorders>
                          <w:top w:val="none" w:color="000000" w:sz="4"/>
                          <w:left w:val="single" w:color="000000" w:sz="4"/>
                          <w:bottom w:val="none" w:color="000000" w:sz="4"/>
                          <w:right w:val="single" w:color="000000" w:sz="4"/>
                        </w:tcBorders>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助农产品（花椒</w:t>
                        </w:r>
                        <w:r>
                          <w:rPr>
                            <w:rFonts w:ascii="仿宋_GB2312" w:hAnsi="仿宋_GB2312" w:cs="仿宋_GB2312" w:eastAsia="仿宋_GB2312"/>
                            <w:sz w:val="21"/>
                          </w:rPr>
                          <w:t>1斤、玉米糁4斤、自磨面5斤）</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≥3种</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1、各品类独立包装</w:t>
                        </w:r>
                      </w:p>
                      <w:p>
                        <w:pPr>
                          <w:pStyle w:val="null3"/>
                          <w:jc w:val="both"/>
                        </w:pPr>
                        <w:r>
                          <w:rPr>
                            <w:rFonts w:ascii="仿宋_GB2312" w:hAnsi="仿宋_GB2312" w:cs="仿宋_GB2312" w:eastAsia="仿宋_GB2312"/>
                            <w:sz w:val="21"/>
                            <w:b/>
                          </w:rPr>
                          <w:t>2、提供明显扶贫商品证明</w:t>
                        </w:r>
                      </w:p>
                      <w:p>
                        <w:pPr>
                          <w:pStyle w:val="null3"/>
                          <w:jc w:val="both"/>
                        </w:pPr>
                        <w:r>
                          <w:rPr>
                            <w:rFonts w:ascii="仿宋_GB2312" w:hAnsi="仿宋_GB2312" w:cs="仿宋_GB2312" w:eastAsia="仿宋_GB2312"/>
                            <w:sz w:val="21"/>
                          </w:rPr>
                          <w:t>3、生产日期不得低于保质期的2/3</w:t>
                        </w:r>
                      </w:p>
                      <w:p>
                        <w:pPr>
                          <w:pStyle w:val="null3"/>
                          <w:jc w:val="both"/>
                        </w:pPr>
                        <w:r>
                          <w:rPr>
                            <w:rFonts w:ascii="仿宋_GB2312" w:hAnsi="仿宋_GB2312" w:cs="仿宋_GB2312" w:eastAsia="仿宋_GB2312"/>
                            <w:sz w:val="21"/>
                          </w:rPr>
                          <w:t>4、符合国家食品安全标准</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盒</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2040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100</w:t>
                        </w:r>
                      </w:p>
                    </w:tc>
                  </w:tr>
                </w:tbl>
                <w:p>
                  <w:pPr>
                    <w:pStyle w:val="null3"/>
                    <w:jc w:val="both"/>
                  </w:pPr>
                  <w:r>
                    <w:rPr>
                      <w:rFonts w:ascii="仿宋_GB2312" w:hAnsi="仿宋_GB2312" w:cs="仿宋_GB2312" w:eastAsia="仿宋_GB2312"/>
                      <w:sz w:val="19"/>
                    </w:rPr>
                    <w:t xml:space="preserve"> </w:t>
                  </w:r>
                </w:p>
                <w:p>
                  <w:pPr>
                    <w:pStyle w:val="null3"/>
                    <w:jc w:val="both"/>
                  </w:pPr>
                  <w:r>
                    <w:rPr>
                      <w:rFonts w:ascii="仿宋_GB2312" w:hAnsi="仿宋_GB2312" w:cs="仿宋_GB2312" w:eastAsia="仿宋_GB2312"/>
                      <w:sz w:val="21"/>
                    </w:rPr>
                    <w:t>二、采购要求</w:t>
                  </w:r>
                </w:p>
                <w:p>
                  <w:pPr>
                    <w:pStyle w:val="null3"/>
                    <w:ind w:firstLine="420"/>
                    <w:jc w:val="both"/>
                  </w:pPr>
                  <w:r>
                    <w:rPr>
                      <w:rFonts w:ascii="仿宋_GB2312" w:hAnsi="仿宋_GB2312" w:cs="仿宋_GB2312" w:eastAsia="仿宋_GB2312"/>
                      <w:sz w:val="21"/>
                    </w:rPr>
                    <w:t>1、交货地点：</w:t>
                  </w:r>
                  <w:r>
                    <w:rPr>
                      <w:rFonts w:ascii="仿宋_GB2312" w:hAnsi="仿宋_GB2312" w:cs="仿宋_GB2312" w:eastAsia="仿宋_GB2312"/>
                      <w:sz w:val="21"/>
                    </w:rPr>
                    <w:t>本项目预计采购约</w:t>
                  </w:r>
                  <w:r>
                    <w:rPr>
                      <w:rFonts w:ascii="仿宋_GB2312" w:hAnsi="仿宋_GB2312" w:cs="仿宋_GB2312" w:eastAsia="仿宋_GB2312"/>
                      <w:sz w:val="21"/>
                    </w:rPr>
                    <w:t>2040份，其中约200份需邮寄并确保送货上门，据实结算。分发或邮寄所产生的一切费用均由供应商承担。</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、交货时间：甲方要求必须在春节前</w:t>
                  </w:r>
                  <w:r>
                    <w:rPr>
                      <w:rFonts w:ascii="仿宋_GB2312" w:hAnsi="仿宋_GB2312" w:cs="仿宋_GB2312" w:eastAsia="仿宋_GB2312"/>
                      <w:sz w:val="21"/>
                    </w:rPr>
                    <w:t>15天备货完毕，开始发放或邮寄，节日前慰问结束。</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、质保期：供应商配送产品必须包装完好</w:t>
                  </w:r>
                  <w:r>
                    <w:rPr>
                      <w:rFonts w:ascii="仿宋_GB2312" w:hAnsi="仿宋_GB2312" w:cs="仿宋_GB2312" w:eastAsia="仿宋_GB2312"/>
                      <w:sz w:val="21"/>
                    </w:rPr>
                    <w:t>，</w:t>
                  </w:r>
                  <w:r>
                    <w:rPr>
                      <w:rFonts w:ascii="仿宋_GB2312" w:hAnsi="仿宋_GB2312" w:cs="仿宋_GB2312" w:eastAsia="仿宋_GB2312"/>
                      <w:sz w:val="21"/>
                    </w:rPr>
                    <w:t>剩余质保期</w:t>
                  </w:r>
                  <w:r>
                    <w:rPr>
                      <w:rFonts w:ascii="仿宋_GB2312" w:hAnsi="仿宋_GB2312" w:cs="仿宋_GB2312" w:eastAsia="仿宋_GB2312"/>
                      <w:sz w:val="21"/>
                    </w:rPr>
                    <w:t>≥2/3质保期</w:t>
                  </w:r>
                  <w:r>
                    <w:rPr>
                      <w:rFonts w:ascii="仿宋_GB2312" w:hAnsi="仿宋_GB2312" w:cs="仿宋_GB2312" w:eastAsia="仿宋_GB2312"/>
                      <w:sz w:val="21"/>
                    </w:rPr>
                    <w:t>，</w:t>
                  </w:r>
                  <w:r>
                    <w:rPr>
                      <w:rFonts w:ascii="仿宋_GB2312" w:hAnsi="仿宋_GB2312" w:cs="仿宋_GB2312" w:eastAsia="仿宋_GB2312"/>
                      <w:sz w:val="21"/>
                    </w:rPr>
                    <w:t>否则不予接收。</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若</w:t>
                  </w:r>
                  <w:r>
                    <w:rPr>
                      <w:rFonts w:ascii="仿宋_GB2312" w:hAnsi="仿宋_GB2312" w:cs="仿宋_GB2312" w:eastAsia="仿宋_GB2312"/>
                      <w:sz w:val="21"/>
                    </w:rPr>
                    <w:t>出现突发情况或紧急采购情况，</w:t>
                  </w:r>
                  <w:r>
                    <w:rPr>
                      <w:rFonts w:ascii="仿宋_GB2312" w:hAnsi="仿宋_GB2312" w:cs="仿宋_GB2312" w:eastAsia="仿宋_GB2312"/>
                      <w:sz w:val="21"/>
                    </w:rPr>
                    <w:t>供应商</w:t>
                  </w:r>
                  <w:r>
                    <w:rPr>
                      <w:rFonts w:ascii="仿宋_GB2312" w:hAnsi="仿宋_GB2312" w:cs="仿宋_GB2312" w:eastAsia="仿宋_GB2312"/>
                      <w:sz w:val="21"/>
                    </w:rPr>
                    <w:t>有紧急预案。</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供应商人员及售后服务要求：</w:t>
                  </w:r>
                  <w:r>
                    <w:rPr>
                      <w:rFonts w:ascii="仿宋_GB2312" w:hAnsi="仿宋_GB2312" w:cs="仿宋_GB2312" w:eastAsia="仿宋_GB2312"/>
                      <w:sz w:val="21"/>
                    </w:rPr>
                    <w:t>须</w:t>
                  </w:r>
                  <w:r>
                    <w:rPr>
                      <w:rFonts w:ascii="仿宋_GB2312" w:hAnsi="仿宋_GB2312" w:cs="仿宋_GB2312" w:eastAsia="仿宋_GB2312"/>
                      <w:sz w:val="21"/>
                    </w:rPr>
                    <w:t>有满足本项目的配送人员，</w:t>
                  </w:r>
                  <w:r>
                    <w:rPr>
                      <w:rFonts w:ascii="仿宋_GB2312" w:hAnsi="仿宋_GB2312" w:cs="仿宋_GB2312" w:eastAsia="仿宋_GB2312"/>
                      <w:sz w:val="21"/>
                    </w:rPr>
                    <w:t>明确</w:t>
                  </w:r>
                  <w:r>
                    <w:rPr>
                      <w:rFonts w:ascii="仿宋_GB2312" w:hAnsi="仿宋_GB2312" w:cs="仿宋_GB2312" w:eastAsia="仿宋_GB2312"/>
                      <w:sz w:val="21"/>
                    </w:rPr>
                    <w:t>1名负责人与采购人对接，且不得随意更换。该负责人同时作为应急联系人，须保持24小时联系畅通。</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质量要求：执行国家、行业强制性标准。严格按照《产品质量法》和《食品安全法》等相关法律法规规定的最新质量标准，严禁添加剂、防腐剂和一些可能危害身体健康的元素含量超标。由于产品质量引起的一切责任由供货商承担，采购人有权终止合同。</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、运输：食品运输必须采用符合卫生标准的外包装和运载工具。运输工具应清洁卫生无污染</w:t>
                  </w:r>
                  <w:r>
                    <w:rPr>
                      <w:rFonts w:ascii="仿宋_GB2312" w:hAnsi="仿宋_GB2312" w:cs="仿宋_GB2312" w:eastAsia="仿宋_GB2312"/>
                      <w:sz w:val="21"/>
                    </w:rPr>
                    <w:t>，</w:t>
                  </w:r>
                  <w:r>
                    <w:rPr>
                      <w:rFonts w:ascii="仿宋_GB2312" w:hAnsi="仿宋_GB2312" w:cs="仿宋_GB2312" w:eastAsia="仿宋_GB2312"/>
                      <w:sz w:val="21"/>
                    </w:rPr>
                    <w:t>保证安全配送，有详细的配送计划安排。</w:t>
                  </w:r>
                </w:p>
                <w:p>
                  <w:pPr>
                    <w:pStyle w:val="null3"/>
                    <w:ind w:firstLine="422"/>
                    <w:jc w:val="both"/>
                  </w:pPr>
                  <w:r>
                    <w:rPr>
                      <w:rFonts w:ascii="仿宋_GB2312" w:hAnsi="仿宋_GB2312" w:cs="仿宋_GB2312" w:eastAsia="仿宋_GB2312"/>
                      <w:sz w:val="21"/>
                      <w:b/>
                    </w:rPr>
                    <w:t>本项目货物采购数量为约数，最终以实际供货数量为结算依据，按照最终报价单价进行核算。</w:t>
                  </w:r>
                </w:p>
                <w:p>
                  <w:pPr>
                    <w:pStyle w:val="null3"/>
                    <w:ind w:firstLine="422"/>
                    <w:jc w:val="both"/>
                  </w:pPr>
                  <w:r>
                    <w:rPr>
                      <w:rFonts w:ascii="仿宋_GB2312" w:hAnsi="仿宋_GB2312" w:cs="仿宋_GB2312" w:eastAsia="仿宋_GB2312"/>
                      <w:sz w:val="19"/>
                    </w:rPr>
                    <w:t xml:space="preserve"> </w:t>
                  </w:r>
                </w:p>
                <w:p>
                  <w:pPr>
                    <w:pStyle w:val="null3"/>
                    <w:ind w:firstLine="422"/>
                    <w:jc w:val="both"/>
                  </w:pPr>
                  <w:r>
                    <w:rPr>
                      <w:rFonts w:ascii="仿宋_GB2312" w:hAnsi="仿宋_GB2312" w:cs="仿宋_GB2312" w:eastAsia="仿宋_GB2312"/>
                      <w:sz w:val="19"/>
                    </w:rPr>
                    <w:t xml:space="preserve"> </w:t>
                  </w:r>
                </w:p>
                <w:p>
                  <w:pPr>
                    <w:pStyle w:val="null3"/>
                    <w:ind w:firstLine="422"/>
                    <w:jc w:val="both"/>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必须在春节前15天备货完毕，开始发放或邮寄，节日前慰问结束。</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合同签订后，乙方提供满足甲方要求数量的货物，由甲方进行验收，验收合格后，进行发放。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1.按《中华人民共和国政府采购法》、《中华人民共和国民法典》中的相关条款执行。 2.未按合同或磋商文件要求提供服务或服务质量不能满足采购人技术要求，采购人有权终止合同，甚至对供应商违约行为进行追究。 3.供应商的响应文件为签订正式书面合同书不可分割的部分，供应商应履行相应的责任。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1、中标结果公示发布后，中标供应商须向采购代理机构提供一正两副（和上传文件保持一致的）纸质投标（响应）文件用于备案及档案保存。 2、批发业中小企业划分标准：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分项报价表（春节采购包1）.docx 响应函 服务方案.docx 供应商承诺书.docx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纳税证明或完税证明</w:t>
            </w:r>
          </w:p>
        </w:tc>
        <w:tc>
          <w:tcPr>
            <w:tcW w:type="dxa" w:w="3322"/>
          </w:tcPr>
          <w:p>
            <w:pPr>
              <w:pStyle w:val="null3"/>
            </w:pPr>
            <w:r>
              <w:rPr>
                <w:rFonts w:ascii="仿宋_GB2312" w:hAnsi="仿宋_GB2312" w:cs="仿宋_GB2312" w:eastAsia="仿宋_GB2312"/>
              </w:rPr>
              <w:t>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须提供法定代表人授权书（法定代表人或负责人直接投标，须提交法定代表人证明书）；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供应商为代理商的提供《食品经营许可证》或《预包装食品经营者备案表》；投标人为生产厂家的提供《食品生产许可证》；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在信用中国(www.creditchina.gov.cn)未被列入重大税收违法失信主体名单；在中国执行信息公开网(http://zxgk.court.gov.cn/shixin/)未被列入失信被执行人名单及在中国政府采购（www.ccgp.gov.cn）未被列入政府采购严重违法失信行为记录名单（处罚期限届满的除外，如相关失信记录已失效，供应商需提供相关证明资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本项目不接受联合体投标承诺书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签章均符合竞争性磋商文件要求，且无遗漏；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供应商名称或组织机构与文件中营业执照名称不一致的；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有效报价</w:t>
            </w:r>
          </w:p>
        </w:tc>
        <w:tc>
          <w:tcPr>
            <w:tcW w:type="dxa" w:w="3322"/>
          </w:tcPr>
          <w:p>
            <w:pPr>
              <w:pStyle w:val="null3"/>
            </w:pPr>
            <w:r>
              <w:rPr>
                <w:rFonts w:ascii="仿宋_GB2312" w:hAnsi="仿宋_GB2312" w:cs="仿宋_GB2312" w:eastAsia="仿宋_GB2312"/>
              </w:rPr>
              <w:t>只能有一个有效报价，不得提交选择性报价，报价不超过预算金额或不超过最高限价或评审小组认为低于成本价的报价；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提供主要产品（菜籽油、大米）供货来源渠道，渠道正常，无劣质、瑕疵产品及产权纠纷，产品来源渠道合法证明材料齐全（不限于销售协议或代理协议或原厂授权等）,每提供1个产品的来源渠道合法、完整证明材料得计2分，共计4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的实施方案，包括：①人员安排（包括但不限于人员名单及联系方式、身份证、工作经历、劳动合同等）②车辆安排③配送（含供货方案、配送安全、配送进度计划安排、配送流程）④发放⑤部分货物须送货上门 二、评审标准 1、完整性：方案必须全面，对评审内容中的各项要求有详细描述；2、可实施性：切合本项目实际情况，提出步骤清晰、合理的方案； 3、针对性：方案能够紧扣项目实际情况，内容科学合理。 三、赋分标准（满分15分） ①人员：每完全满足一个评审标准得1分，不能完全满足一个评审标准要求得0.5分，未提供或脱离项目实际的不得分。满分3 分； ②车辆：每完全满足一个评审标准得1分，不能完全满足一个评审标准要求得0.5分，未提供或脱离项目实际的不得分，满分3分； ③配送：每完全满足一个评审标准得1分，不能完全满足一个评审标准要求得0.5分，未提供或脱离项目实际的不得分，满分3分； ④发放：每完全满足一个评审标准得1分，不能完全满足一个评审标准要求得0.5分，未提供或脱离项目实际的不得分，满分3分； ⑤部分货物须送货上门：每完全满足一个评审标准得1分，不能完全满足一个评审标准要求得0.5分，未提供或脱离项目实际的不得分，满分3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根据供应商提出适用于本项目的质量保证措施，包括：①产品质量安全措施②严格执行国家或行业标准措施③质量保证措施及承诺 ④履约能力 二、评审标准 1、完整性：方案必须全面，对评审内容中的各项要求有详细描述；2、可实施性：切合本项目实际情况，提出步骤清晰、合理的方案； 3、针对性：方案能够紧扣项目实际情况，内容科学合理。 三、赋分标准（满分18分） ①产品质量安全措施：每完全满足一个评审标准得1.5分，不能完全满足一个评审标准要求得1分，未提供或脱离项目实际的不得分，满分4.5分； ②严格执行国家或行业标准：每完全满足一个评审标准得1.5分，不能完全满足一个评审标准要求得1分，未提供或脱离项目实际的不得分，满分4.5分； ③质量保证措施及承诺：每完全满足一个评审标准得1.5分，不能完全满足一个评审标准要求得1分，未提供或脱离项目实际的不得分，满分4.5分； ④履约能力：每完全满足一个评审标准得1.5分，不能完全满足一个评审标准要求得1分，未提供或脱离项目实际的不得分，满分4.5分。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针对本项目的售后服务方案，方案包括：①根据食品安全法制定售后服务方案②售后服务团队和技术人员支持③人员安排、响应时间、退（调）换货等方案 二、评审标准 1、完整性：方案必须全面，对评审内容中的各项要求有详细描述； 2、可实施性：切合本项目实际情况，提出步骤清晰、合理的方案；3、针对性：方案能够紧扣项目实际情况，内容科学合理。 三、赋分标准（满分12分） ①根据食品安全法制定售后服务方案：每完全满足一个评审标准得1分，不能完全满足一个评审标准要求得0.5分，未提供或脱离项目实际的不得分，满分3分； ②售后服务团队和技术人员支持：每完全满足一个评审标准得1分，不能完全满足一个评审标准要求得0.5分，未提供或脱离项目实际的不得分，满分3分； ③人员安排、响应时间、退（调）换货等方案：每完全满足一个评审标准得2分，不能完全满足一个评审标准要求得1分，未提供或脱离项目实际的不得分，满分6分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针对本项目的应急预案，包括：①食品危机管理方案②应急处置措施 二、评审标准 1、完整性：方案必须全面，对评审内容中的各项要求有详细描述； 2、可实施性：切合本项目实际情况，提出步骤清晰、合理的方案； 3、针对性：方案能够紧扣项目实际情况，内容科学合理。 三、赋分标准（满分6分） ①食品危机管理方案：每完全满足一个评审标准得1分，不能完全满足一个评审标准要求得0.5分，未提供或脱离项目实际的不得分，满分3分； ②应急处置措施：每完全满足一个评审标准得1分，不能完全满足一个评审标准要求得0.5分，未提供或脱离项目实际的不得分，满分3分。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标人承诺所投产品①未过期、不变质、不变味、无杂质、无毒无害②符合国家食品卫生有关规定，若使用中出现问题，因产品质量等造成一切安全问题和后果由投标人自行承担全部责任。 每提供一个符合本项目要求的服务承诺得2.5分，满分5分。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具有2022年1月1日起至今的类似项目业绩，业绩以合同扫描件（复印件）为依据；每提供1个业绩合同得2分，最多得10分。备注：时间以合同签订时间为准。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财库〔2020〕46号文件的规定，采用低价优先法计算，以本次满足磋商文件要求的最低最后磋商评标价为磋商基准价，其磋商报价为满分。供应商的磋商报价得分，统一按照下列公式计算：磋商报价得分=(磋商基准价／磋商评标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详见附件：分项报价表（春节采购包1）.docx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