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2A741">
      <w:pPr>
        <w:spacing w:before="312" w:beforeLines="100" w:after="312" w:afterLines="100" w:line="480" w:lineRule="auto"/>
        <w:jc w:val="center"/>
        <w:rPr>
          <w:rFonts w:hint="eastAsia" w:ascii="黑体" w:hAnsi="宋体" w:eastAsia="黑体"/>
          <w:b/>
          <w:sz w:val="44"/>
          <w:szCs w:val="44"/>
        </w:rPr>
      </w:pPr>
    </w:p>
    <w:p w14:paraId="182EA15C">
      <w:pPr>
        <w:spacing w:before="312" w:beforeLines="100" w:after="312" w:afterLines="100" w:line="480" w:lineRule="auto"/>
        <w:jc w:val="center"/>
        <w:rPr>
          <w:rFonts w:hint="eastAsia" w:ascii="黑体" w:hAnsi="宋体" w:eastAsia="黑体"/>
          <w:b/>
          <w:sz w:val="44"/>
          <w:szCs w:val="44"/>
        </w:rPr>
      </w:pPr>
      <w:r>
        <w:rPr>
          <w:rFonts w:hint="eastAsia" w:ascii="黑体" w:hAnsi="宋体" w:eastAsia="黑体"/>
          <w:b/>
          <w:sz w:val="44"/>
          <w:szCs w:val="44"/>
        </w:rPr>
        <w:t>西安市疾病预防控制中心2025年实验试剂与耗材（应急试剂）采购项目</w:t>
      </w:r>
    </w:p>
    <w:p w14:paraId="4128F050">
      <w:pPr>
        <w:spacing w:before="312" w:beforeLines="100" w:after="312" w:afterLines="100" w:line="480" w:lineRule="auto"/>
        <w:jc w:val="center"/>
        <w:rPr>
          <w:rFonts w:hint="eastAsia" w:ascii="黑体" w:hAnsi="宋体" w:eastAsia="黑体"/>
          <w:b/>
          <w:sz w:val="44"/>
          <w:szCs w:val="44"/>
        </w:rPr>
      </w:pPr>
      <w:r>
        <w:rPr>
          <w:rFonts w:hint="eastAsia" w:ascii="黑体" w:hAnsi="宋体" w:eastAsia="黑体"/>
          <w:b/>
          <w:sz w:val="44"/>
          <w:szCs w:val="44"/>
        </w:rPr>
        <w:t>采购合同</w:t>
      </w:r>
    </w:p>
    <w:p w14:paraId="690727BD">
      <w:pPr>
        <w:jc w:val="center"/>
        <w:rPr>
          <w:rFonts w:hint="eastAsia" w:ascii="宋体" w:hAnsi="宋体"/>
          <w:bCs/>
          <w:sz w:val="15"/>
          <w:szCs w:val="18"/>
        </w:rPr>
      </w:pPr>
      <w:r>
        <w:rPr>
          <w:rFonts w:hint="eastAsia" w:ascii="黑体" w:hAnsi="宋体" w:eastAsia="黑体"/>
          <w:bCs/>
          <w:sz w:val="28"/>
          <w:szCs w:val="28"/>
        </w:rPr>
        <w:t>（项目编号：ZX2025-07-37）</w:t>
      </w:r>
    </w:p>
    <w:p w14:paraId="20259E18">
      <w:pPr>
        <w:pStyle w:val="7"/>
        <w:spacing w:before="156" w:beforeLines="50" w:after="156" w:afterLines="50"/>
        <w:jc w:val="center"/>
        <w:rPr>
          <w:rFonts w:hint="eastAsia" w:ascii="黑体" w:hAnsi="宋体" w:eastAsia="黑体"/>
          <w:b/>
          <w:sz w:val="32"/>
          <w:szCs w:val="32"/>
          <w:u w:val="single"/>
        </w:rPr>
      </w:pPr>
    </w:p>
    <w:p w14:paraId="6B428371">
      <w:pPr>
        <w:rPr>
          <w:rFonts w:hint="eastAsia" w:ascii="宋体" w:hAnsi="宋体"/>
        </w:rPr>
      </w:pPr>
    </w:p>
    <w:p w14:paraId="5FA2C6EC">
      <w:pPr>
        <w:rPr>
          <w:rFonts w:hint="eastAsia" w:ascii="宋体" w:hAnsi="宋体"/>
        </w:rPr>
      </w:pPr>
    </w:p>
    <w:p w14:paraId="4EBE3F32">
      <w:pPr>
        <w:spacing w:line="440" w:lineRule="exact"/>
        <w:rPr>
          <w:rFonts w:hint="eastAsia" w:ascii="宋体" w:hAnsi="宋体"/>
          <w:b/>
          <w:szCs w:val="32"/>
        </w:rPr>
      </w:pPr>
    </w:p>
    <w:p w14:paraId="5F7D3DD9">
      <w:pPr>
        <w:pStyle w:val="7"/>
      </w:pPr>
    </w:p>
    <w:p w14:paraId="272193DD">
      <w:pPr>
        <w:pStyle w:val="7"/>
      </w:pPr>
    </w:p>
    <w:p w14:paraId="11F97053">
      <w:pPr>
        <w:pStyle w:val="7"/>
      </w:pPr>
    </w:p>
    <w:p w14:paraId="2AB09D98">
      <w:pPr>
        <w:pStyle w:val="7"/>
      </w:pPr>
    </w:p>
    <w:p w14:paraId="083AF81A">
      <w:pPr>
        <w:pStyle w:val="7"/>
      </w:pPr>
    </w:p>
    <w:p w14:paraId="59E74816">
      <w:pPr>
        <w:spacing w:line="360" w:lineRule="auto"/>
        <w:ind w:firstLine="1050" w:firstLineChars="500"/>
        <w:rPr>
          <w:rFonts w:hint="eastAsia" w:ascii="黑体" w:hAnsi="黑体" w:eastAsia="黑体"/>
          <w:bCs/>
          <w:szCs w:val="32"/>
        </w:rPr>
      </w:pPr>
      <w:r>
        <w:rPr>
          <w:rFonts w:hint="eastAsia" w:ascii="黑体" w:hAnsi="黑体" w:eastAsia="黑体"/>
          <w:bCs/>
          <w:szCs w:val="32"/>
        </w:rPr>
        <w:t>甲  方：西安市疾病预防控制中心</w:t>
      </w:r>
    </w:p>
    <w:p w14:paraId="5E732E04">
      <w:pPr>
        <w:pStyle w:val="6"/>
        <w:spacing w:line="336" w:lineRule="auto"/>
        <w:ind w:firstLine="1050" w:firstLineChars="500"/>
        <w:rPr>
          <w:rFonts w:hint="eastAsia" w:ascii="黑体" w:hAnsi="黑体" w:eastAsia="黑体"/>
          <w:bCs/>
          <w:szCs w:val="32"/>
        </w:rPr>
      </w:pPr>
      <w:r>
        <w:rPr>
          <w:rFonts w:hint="eastAsia" w:ascii="黑体" w:hAnsi="黑体" w:eastAsia="黑体"/>
          <w:bCs/>
          <w:szCs w:val="32"/>
        </w:rPr>
        <w:t>乙  方：x</w:t>
      </w:r>
      <w:r>
        <w:rPr>
          <w:rFonts w:ascii="黑体" w:hAnsi="黑体" w:eastAsia="黑体"/>
          <w:bCs/>
          <w:szCs w:val="32"/>
        </w:rPr>
        <w:t>xxxxxxx</w:t>
      </w:r>
    </w:p>
    <w:p w14:paraId="334C1134">
      <w:pPr>
        <w:spacing w:line="360" w:lineRule="auto"/>
        <w:ind w:firstLine="1050" w:firstLineChars="500"/>
        <w:rPr>
          <w:rFonts w:hint="eastAsia" w:ascii="黑体" w:hAnsi="黑体" w:eastAsia="黑体"/>
          <w:bCs/>
          <w:szCs w:val="32"/>
        </w:rPr>
      </w:pPr>
      <w:r>
        <w:rPr>
          <w:rFonts w:hint="eastAsia" w:ascii="黑体" w:hAnsi="黑体" w:eastAsia="黑体"/>
          <w:bCs/>
          <w:szCs w:val="32"/>
        </w:rPr>
        <w:t>鉴证方：x</w:t>
      </w:r>
      <w:r>
        <w:rPr>
          <w:rFonts w:ascii="黑体" w:hAnsi="黑体" w:eastAsia="黑体"/>
          <w:bCs/>
          <w:szCs w:val="32"/>
        </w:rPr>
        <w:t>xxxxx</w:t>
      </w:r>
    </w:p>
    <w:p w14:paraId="108BDB65">
      <w:pPr>
        <w:spacing w:line="360" w:lineRule="auto"/>
        <w:jc w:val="center"/>
        <w:rPr>
          <w:rFonts w:hint="eastAsia" w:ascii="黑体" w:hAnsi="黑体" w:eastAsia="黑体"/>
          <w:bCs/>
          <w:szCs w:val="32"/>
        </w:rPr>
      </w:pPr>
      <w:r>
        <w:rPr>
          <w:rFonts w:hint="eastAsia" w:ascii="黑体" w:hAnsi="黑体" w:eastAsia="黑体"/>
          <w:bCs/>
          <w:szCs w:val="32"/>
        </w:rPr>
        <w:t>2025年</w:t>
      </w:r>
      <w:r>
        <w:rPr>
          <w:rFonts w:ascii="黑体" w:hAnsi="黑体" w:eastAsia="黑体"/>
          <w:bCs/>
          <w:szCs w:val="32"/>
        </w:rPr>
        <w:t>x</w:t>
      </w:r>
      <w:r>
        <w:rPr>
          <w:rFonts w:hint="eastAsia" w:ascii="黑体" w:hAnsi="黑体" w:eastAsia="黑体"/>
          <w:bCs/>
          <w:szCs w:val="32"/>
        </w:rPr>
        <w:t>月</w:t>
      </w:r>
    </w:p>
    <w:p w14:paraId="263347F6">
      <w:pPr>
        <w:ind w:firstLine="540" w:firstLineChars="300"/>
        <w:rPr>
          <w:sz w:val="18"/>
          <w:szCs w:val="18"/>
        </w:rPr>
      </w:pPr>
      <w:r>
        <w:rPr>
          <w:sz w:val="18"/>
          <w:szCs w:val="18"/>
        </w:rPr>
        <w:br w:type="page"/>
      </w:r>
      <w:bookmarkStart w:id="0" w:name="_Hlk137199754"/>
      <w:r>
        <w:rPr>
          <w:rFonts w:hint="eastAsia" w:ascii="宋体" w:hAnsi="宋体" w:eastAsia="宋体" w:cs="仿宋"/>
          <w:bCs/>
          <w:sz w:val="24"/>
        </w:rPr>
        <w:t>甲  方：</w:t>
      </w:r>
      <w:r>
        <w:rPr>
          <w:rFonts w:hint="eastAsia" w:ascii="宋体" w:hAnsi="宋体" w:eastAsia="宋体" w:cs="仿宋"/>
          <w:b/>
          <w:bCs/>
          <w:sz w:val="24"/>
          <w:u w:val="single"/>
        </w:rPr>
        <w:t>西安市疾病预防控制中心</w:t>
      </w:r>
    </w:p>
    <w:p w14:paraId="6BF59375">
      <w:pPr>
        <w:spacing w:line="300" w:lineRule="auto"/>
        <w:ind w:firstLine="480" w:firstLineChars="200"/>
        <w:rPr>
          <w:rFonts w:hint="eastAsia" w:ascii="宋体" w:hAnsi="宋体" w:eastAsia="宋体" w:cs="仿宋"/>
          <w:bCs/>
          <w:sz w:val="24"/>
        </w:rPr>
      </w:pPr>
      <w:r>
        <w:rPr>
          <w:rFonts w:hint="eastAsia" w:ascii="宋体" w:hAnsi="宋体" w:eastAsia="宋体" w:cs="仿宋"/>
          <w:bCs/>
          <w:sz w:val="24"/>
        </w:rPr>
        <w:t>乙  方：</w:t>
      </w:r>
      <w:r>
        <w:rPr>
          <w:rFonts w:hint="eastAsia" w:ascii="宋体" w:hAnsi="宋体" w:eastAsia="宋体" w:cs="仿宋"/>
          <w:b/>
          <w:bCs/>
          <w:sz w:val="24"/>
          <w:u w:val="single"/>
        </w:rPr>
        <w:t>xxxxxxxxxxx</w:t>
      </w:r>
    </w:p>
    <w:p w14:paraId="4C880E32">
      <w:pPr>
        <w:spacing w:line="300" w:lineRule="auto"/>
        <w:ind w:firstLine="480" w:firstLineChars="200"/>
        <w:rPr>
          <w:rFonts w:hint="eastAsia" w:ascii="宋体" w:hAnsi="宋体" w:eastAsia="宋体" w:cs="仿宋"/>
          <w:bCs/>
          <w:sz w:val="24"/>
        </w:rPr>
      </w:pPr>
      <w:r>
        <w:rPr>
          <w:rFonts w:hint="eastAsia" w:ascii="宋体" w:hAnsi="宋体" w:eastAsia="宋体" w:cs="仿宋"/>
          <w:bCs/>
          <w:sz w:val="24"/>
        </w:rPr>
        <w:t>鉴证方：</w:t>
      </w:r>
      <w:r>
        <w:rPr>
          <w:rFonts w:hint="eastAsia" w:ascii="宋体" w:hAnsi="宋体" w:eastAsia="宋体" w:cs="仿宋"/>
          <w:b/>
          <w:bCs/>
          <w:sz w:val="24"/>
          <w:u w:val="single"/>
        </w:rPr>
        <w:t>xxxxxxxxxxx</w:t>
      </w:r>
    </w:p>
    <w:p w14:paraId="129FD0C0">
      <w:pPr>
        <w:tabs>
          <w:tab w:val="left" w:pos="480"/>
        </w:tabs>
        <w:spacing w:line="300" w:lineRule="auto"/>
        <w:ind w:firstLine="480" w:firstLineChars="200"/>
        <w:rPr>
          <w:rFonts w:hint="eastAsia" w:ascii="宋体" w:hAnsi="宋体" w:eastAsia="宋体" w:cs="仿宋"/>
          <w:bCs/>
          <w:sz w:val="24"/>
        </w:rPr>
      </w:pPr>
      <w:r>
        <w:rPr>
          <w:rFonts w:hint="eastAsia" w:ascii="宋体" w:hAnsi="宋体" w:eastAsia="宋体" w:cs="仿宋"/>
          <w:bCs/>
          <w:sz w:val="24"/>
        </w:rPr>
        <w:t>根据《中华人民共和国政府采购法》及实施条例、《中华人民共和国民法典》和甲方采购项目：</w:t>
      </w:r>
      <w:r>
        <w:rPr>
          <w:rFonts w:hint="eastAsia" w:ascii="宋体" w:hAnsi="宋体" w:eastAsia="宋体" w:cs="仿宋"/>
          <w:bCs/>
          <w:sz w:val="24"/>
          <w:u w:val="single"/>
        </w:rPr>
        <w:t>西安市疾病预防控制中心西安市疾病预防控制中心2025年实验试剂与耗材（应急试剂）采购项目</w:t>
      </w:r>
      <w:r>
        <w:rPr>
          <w:rFonts w:hint="eastAsia" w:ascii="宋体" w:hAnsi="宋体" w:eastAsia="宋体" w:cs="仿宋"/>
          <w:bCs/>
          <w:sz w:val="24"/>
        </w:rPr>
        <w:t>（采购项目编号：ZX2025-07-37）的招标文件、投标文件等有关规定，为确保甲方采购项目的顺利实施，甲、乙双方在平等自愿原则下签订本合同，并共同遵守如下条款：</w:t>
      </w:r>
    </w:p>
    <w:p w14:paraId="04A8966F">
      <w:pPr>
        <w:tabs>
          <w:tab w:val="left" w:pos="480"/>
        </w:tabs>
        <w:spacing w:line="300" w:lineRule="auto"/>
        <w:rPr>
          <w:rFonts w:hint="eastAsia" w:ascii="宋体" w:hAnsi="宋体" w:eastAsia="宋体" w:cs="仿宋"/>
          <w:bCs/>
          <w:sz w:val="24"/>
        </w:rPr>
      </w:pPr>
      <w:r>
        <w:rPr>
          <w:rFonts w:hint="eastAsia" w:ascii="宋体" w:hAnsi="宋体" w:eastAsia="宋体" w:cs="仿宋"/>
          <w:b/>
          <w:sz w:val="24"/>
        </w:rPr>
        <w:t>一、合同标的物内容及数量</w:t>
      </w:r>
    </w:p>
    <w:tbl>
      <w:tblPr>
        <w:tblStyle w:val="10"/>
        <w:tblW w:w="10136" w:type="dxa"/>
        <w:jc w:val="center"/>
        <w:tblLayout w:type="autofit"/>
        <w:tblCellMar>
          <w:top w:w="0" w:type="dxa"/>
          <w:left w:w="108" w:type="dxa"/>
          <w:bottom w:w="0" w:type="dxa"/>
          <w:right w:w="108" w:type="dxa"/>
        </w:tblCellMar>
      </w:tblPr>
      <w:tblGrid>
        <w:gridCol w:w="1080"/>
        <w:gridCol w:w="1080"/>
        <w:gridCol w:w="1265"/>
        <w:gridCol w:w="895"/>
        <w:gridCol w:w="1308"/>
        <w:gridCol w:w="852"/>
        <w:gridCol w:w="914"/>
        <w:gridCol w:w="1276"/>
        <w:gridCol w:w="1466"/>
      </w:tblGrid>
      <w:tr w14:paraId="08F0FA9F">
        <w:tblPrEx>
          <w:tblCellMar>
            <w:top w:w="0" w:type="dxa"/>
            <w:left w:w="108" w:type="dxa"/>
            <w:bottom w:w="0" w:type="dxa"/>
            <w:right w:w="108" w:type="dxa"/>
          </w:tblCellMar>
        </w:tblPrEx>
        <w:trPr>
          <w:trHeight w:val="585" w:hRule="atLeast"/>
          <w:jc w:val="center"/>
        </w:trPr>
        <w:tc>
          <w:tcPr>
            <w:tcW w:w="1080" w:type="dxa"/>
            <w:tcBorders>
              <w:top w:val="single" w:color="auto" w:sz="8" w:space="0"/>
              <w:left w:val="single" w:color="auto" w:sz="8" w:space="0"/>
              <w:bottom w:val="single" w:color="auto" w:sz="8" w:space="0"/>
              <w:right w:val="single" w:color="auto" w:sz="8" w:space="0"/>
            </w:tcBorders>
            <w:vAlign w:val="center"/>
          </w:tcPr>
          <w:p w14:paraId="70F2B871">
            <w:pPr>
              <w:jc w:val="center"/>
              <w:rPr>
                <w:rFonts w:hint="eastAsia" w:ascii="宋体" w:hAnsi="宋体" w:eastAsia="宋体"/>
                <w:sz w:val="24"/>
                <w:szCs w:val="21"/>
              </w:rPr>
            </w:pPr>
            <w:r>
              <w:rPr>
                <w:rFonts w:hint="eastAsia" w:ascii="宋体" w:hAnsi="宋体" w:eastAsia="宋体"/>
                <w:sz w:val="24"/>
                <w:szCs w:val="21"/>
              </w:rPr>
              <w:t>序号</w:t>
            </w:r>
          </w:p>
        </w:tc>
        <w:tc>
          <w:tcPr>
            <w:tcW w:w="1080" w:type="dxa"/>
            <w:tcBorders>
              <w:top w:val="single" w:color="auto" w:sz="8" w:space="0"/>
              <w:left w:val="nil"/>
              <w:bottom w:val="single" w:color="auto" w:sz="8" w:space="0"/>
              <w:right w:val="single" w:color="auto" w:sz="8" w:space="0"/>
            </w:tcBorders>
            <w:vAlign w:val="center"/>
          </w:tcPr>
          <w:p w14:paraId="784D7A63">
            <w:pPr>
              <w:jc w:val="center"/>
              <w:rPr>
                <w:rFonts w:hint="eastAsia" w:ascii="宋体" w:hAnsi="宋体" w:eastAsia="宋体"/>
                <w:sz w:val="24"/>
                <w:szCs w:val="21"/>
              </w:rPr>
            </w:pPr>
            <w:r>
              <w:rPr>
                <w:rFonts w:hint="eastAsia" w:ascii="宋体" w:hAnsi="宋体" w:eastAsia="宋体"/>
                <w:sz w:val="24"/>
                <w:szCs w:val="21"/>
              </w:rPr>
              <w:t>名称</w:t>
            </w:r>
          </w:p>
        </w:tc>
        <w:tc>
          <w:tcPr>
            <w:tcW w:w="1265" w:type="dxa"/>
            <w:tcBorders>
              <w:top w:val="single" w:color="auto" w:sz="8" w:space="0"/>
              <w:left w:val="nil"/>
              <w:bottom w:val="single" w:color="auto" w:sz="8" w:space="0"/>
              <w:right w:val="single" w:color="auto" w:sz="8" w:space="0"/>
            </w:tcBorders>
            <w:vAlign w:val="center"/>
          </w:tcPr>
          <w:p w14:paraId="71C5ECEC">
            <w:pPr>
              <w:jc w:val="center"/>
              <w:rPr>
                <w:rFonts w:hint="eastAsia" w:ascii="宋体" w:hAnsi="宋体" w:eastAsia="宋体"/>
                <w:sz w:val="24"/>
                <w:szCs w:val="21"/>
              </w:rPr>
            </w:pPr>
            <w:r>
              <w:rPr>
                <w:rFonts w:hint="eastAsia" w:ascii="宋体" w:hAnsi="宋体" w:eastAsia="宋体"/>
                <w:sz w:val="24"/>
                <w:szCs w:val="21"/>
              </w:rPr>
              <w:t>规格型号</w:t>
            </w:r>
          </w:p>
        </w:tc>
        <w:tc>
          <w:tcPr>
            <w:tcW w:w="895" w:type="dxa"/>
            <w:tcBorders>
              <w:top w:val="single" w:color="auto" w:sz="8" w:space="0"/>
              <w:left w:val="nil"/>
              <w:bottom w:val="single" w:color="auto" w:sz="8" w:space="0"/>
              <w:right w:val="single" w:color="auto" w:sz="8" w:space="0"/>
            </w:tcBorders>
            <w:vAlign w:val="center"/>
          </w:tcPr>
          <w:p w14:paraId="681915F3">
            <w:pPr>
              <w:jc w:val="center"/>
              <w:rPr>
                <w:rFonts w:hint="eastAsia" w:ascii="宋体" w:hAnsi="宋体" w:eastAsia="宋体"/>
                <w:sz w:val="24"/>
                <w:szCs w:val="21"/>
              </w:rPr>
            </w:pPr>
            <w:r>
              <w:rPr>
                <w:rFonts w:hint="eastAsia" w:ascii="宋体" w:hAnsi="宋体" w:eastAsia="宋体"/>
                <w:sz w:val="24"/>
                <w:szCs w:val="21"/>
              </w:rPr>
              <w:t>产地</w:t>
            </w:r>
          </w:p>
        </w:tc>
        <w:tc>
          <w:tcPr>
            <w:tcW w:w="1308" w:type="dxa"/>
            <w:tcBorders>
              <w:top w:val="single" w:color="auto" w:sz="8" w:space="0"/>
              <w:left w:val="nil"/>
              <w:bottom w:val="single" w:color="auto" w:sz="8" w:space="0"/>
              <w:right w:val="single" w:color="auto" w:sz="8" w:space="0"/>
            </w:tcBorders>
            <w:vAlign w:val="center"/>
          </w:tcPr>
          <w:p w14:paraId="7E75C871">
            <w:pPr>
              <w:jc w:val="center"/>
              <w:rPr>
                <w:rFonts w:hint="eastAsia" w:ascii="宋体" w:hAnsi="宋体" w:eastAsia="宋体"/>
                <w:sz w:val="24"/>
                <w:szCs w:val="21"/>
              </w:rPr>
            </w:pPr>
            <w:r>
              <w:rPr>
                <w:rFonts w:hint="eastAsia" w:ascii="宋体" w:hAnsi="宋体" w:eastAsia="宋体"/>
                <w:sz w:val="24"/>
                <w:szCs w:val="21"/>
              </w:rPr>
              <w:t>生产厂家</w:t>
            </w:r>
          </w:p>
        </w:tc>
        <w:tc>
          <w:tcPr>
            <w:tcW w:w="852" w:type="dxa"/>
            <w:tcBorders>
              <w:top w:val="single" w:color="auto" w:sz="8" w:space="0"/>
              <w:left w:val="nil"/>
              <w:bottom w:val="single" w:color="auto" w:sz="8" w:space="0"/>
              <w:right w:val="single" w:color="auto" w:sz="8" w:space="0"/>
            </w:tcBorders>
            <w:vAlign w:val="center"/>
          </w:tcPr>
          <w:p w14:paraId="4019B0A2">
            <w:pPr>
              <w:jc w:val="center"/>
              <w:rPr>
                <w:rFonts w:hint="eastAsia" w:ascii="宋体" w:hAnsi="宋体" w:eastAsia="宋体"/>
                <w:sz w:val="24"/>
                <w:szCs w:val="21"/>
              </w:rPr>
            </w:pPr>
            <w:r>
              <w:rPr>
                <w:rFonts w:hint="eastAsia" w:ascii="宋体" w:hAnsi="宋体" w:eastAsia="宋体"/>
                <w:sz w:val="24"/>
                <w:szCs w:val="21"/>
              </w:rPr>
              <w:t>单位</w:t>
            </w:r>
          </w:p>
        </w:tc>
        <w:tc>
          <w:tcPr>
            <w:tcW w:w="914" w:type="dxa"/>
            <w:tcBorders>
              <w:top w:val="single" w:color="auto" w:sz="8" w:space="0"/>
              <w:left w:val="nil"/>
              <w:bottom w:val="single" w:color="auto" w:sz="8" w:space="0"/>
              <w:right w:val="single" w:color="auto" w:sz="8" w:space="0"/>
            </w:tcBorders>
            <w:vAlign w:val="center"/>
          </w:tcPr>
          <w:p w14:paraId="251033AD">
            <w:pPr>
              <w:jc w:val="center"/>
              <w:rPr>
                <w:rFonts w:hint="eastAsia" w:ascii="宋体" w:hAnsi="宋体" w:eastAsia="宋体"/>
                <w:sz w:val="24"/>
                <w:szCs w:val="21"/>
              </w:rPr>
            </w:pPr>
            <w:r>
              <w:rPr>
                <w:rFonts w:hint="eastAsia" w:ascii="宋体" w:hAnsi="宋体" w:eastAsia="宋体"/>
                <w:sz w:val="24"/>
                <w:szCs w:val="21"/>
              </w:rPr>
              <w:t>数量</w:t>
            </w:r>
          </w:p>
        </w:tc>
        <w:tc>
          <w:tcPr>
            <w:tcW w:w="1276" w:type="dxa"/>
            <w:tcBorders>
              <w:top w:val="single" w:color="auto" w:sz="8" w:space="0"/>
              <w:left w:val="nil"/>
              <w:bottom w:val="single" w:color="auto" w:sz="8" w:space="0"/>
              <w:right w:val="single" w:color="auto" w:sz="8" w:space="0"/>
            </w:tcBorders>
            <w:vAlign w:val="center"/>
          </w:tcPr>
          <w:p w14:paraId="170B6DA5">
            <w:pPr>
              <w:jc w:val="center"/>
              <w:rPr>
                <w:rFonts w:hint="eastAsia" w:ascii="宋体" w:hAnsi="宋体" w:eastAsia="宋体"/>
                <w:sz w:val="24"/>
                <w:szCs w:val="21"/>
              </w:rPr>
            </w:pPr>
            <w:r>
              <w:rPr>
                <w:rFonts w:hint="eastAsia" w:ascii="宋体" w:hAnsi="宋体" w:eastAsia="宋体"/>
                <w:sz w:val="24"/>
                <w:szCs w:val="21"/>
              </w:rPr>
              <w:t>单价（元）</w:t>
            </w:r>
          </w:p>
        </w:tc>
        <w:tc>
          <w:tcPr>
            <w:tcW w:w="1466" w:type="dxa"/>
            <w:tcBorders>
              <w:top w:val="single" w:color="auto" w:sz="8" w:space="0"/>
              <w:left w:val="nil"/>
              <w:bottom w:val="single" w:color="auto" w:sz="8" w:space="0"/>
              <w:right w:val="single" w:color="auto" w:sz="8" w:space="0"/>
            </w:tcBorders>
            <w:vAlign w:val="center"/>
          </w:tcPr>
          <w:p w14:paraId="7544D3FB">
            <w:pPr>
              <w:jc w:val="center"/>
              <w:rPr>
                <w:rFonts w:hint="eastAsia" w:ascii="宋体" w:hAnsi="宋体" w:eastAsia="宋体"/>
                <w:sz w:val="24"/>
                <w:szCs w:val="21"/>
              </w:rPr>
            </w:pPr>
            <w:r>
              <w:rPr>
                <w:rFonts w:hint="eastAsia" w:ascii="宋体" w:hAnsi="宋体" w:eastAsia="宋体"/>
                <w:sz w:val="24"/>
                <w:szCs w:val="21"/>
              </w:rPr>
              <w:t>总价（元）</w:t>
            </w:r>
          </w:p>
        </w:tc>
      </w:tr>
      <w:tr w14:paraId="44F84D8E">
        <w:tblPrEx>
          <w:tblCellMar>
            <w:top w:w="0" w:type="dxa"/>
            <w:left w:w="108" w:type="dxa"/>
            <w:bottom w:w="0" w:type="dxa"/>
            <w:right w:w="108" w:type="dxa"/>
          </w:tblCellMar>
        </w:tblPrEx>
        <w:trPr>
          <w:trHeight w:val="300" w:hRule="atLeast"/>
          <w:jc w:val="center"/>
        </w:trPr>
        <w:tc>
          <w:tcPr>
            <w:tcW w:w="1080" w:type="dxa"/>
            <w:tcBorders>
              <w:top w:val="nil"/>
              <w:left w:val="single" w:color="auto" w:sz="8" w:space="0"/>
              <w:bottom w:val="single" w:color="auto" w:sz="8" w:space="0"/>
              <w:right w:val="single" w:color="auto" w:sz="8" w:space="0"/>
            </w:tcBorders>
            <w:vAlign w:val="center"/>
          </w:tcPr>
          <w:p w14:paraId="557BDFBF">
            <w:pPr>
              <w:widowControl/>
              <w:spacing w:line="300" w:lineRule="auto"/>
              <w:ind w:firstLine="200"/>
              <w:rPr>
                <w:rFonts w:hint="eastAsia" w:ascii="宋体" w:hAnsi="宋体" w:eastAsia="宋体" w:cs="宋体"/>
                <w:kern w:val="0"/>
                <w:sz w:val="24"/>
              </w:rPr>
            </w:pPr>
            <w:r>
              <w:rPr>
                <w:rFonts w:hint="eastAsia" w:ascii="宋体" w:hAnsi="宋体" w:eastAsia="宋体" w:cs="宋体"/>
                <w:kern w:val="0"/>
                <w:sz w:val="24"/>
              </w:rPr>
              <w:t>1</w:t>
            </w:r>
          </w:p>
        </w:tc>
        <w:tc>
          <w:tcPr>
            <w:tcW w:w="1080" w:type="dxa"/>
            <w:tcBorders>
              <w:top w:val="nil"/>
              <w:left w:val="nil"/>
              <w:bottom w:val="single" w:color="auto" w:sz="8" w:space="0"/>
              <w:right w:val="single" w:color="auto" w:sz="8" w:space="0"/>
            </w:tcBorders>
            <w:vAlign w:val="center"/>
          </w:tcPr>
          <w:p w14:paraId="597E2477">
            <w:pPr>
              <w:pStyle w:val="6"/>
              <w:spacing w:line="300" w:lineRule="auto"/>
              <w:ind w:firstLine="200"/>
              <w:rPr>
                <w:rFonts w:hint="eastAsia" w:hAnsi="宋体" w:eastAsia="宋体" w:cs="宋体"/>
                <w:kern w:val="0"/>
                <w:sz w:val="24"/>
                <w:szCs w:val="24"/>
              </w:rPr>
            </w:pPr>
          </w:p>
        </w:tc>
        <w:tc>
          <w:tcPr>
            <w:tcW w:w="1265" w:type="dxa"/>
            <w:tcBorders>
              <w:top w:val="nil"/>
              <w:left w:val="nil"/>
              <w:bottom w:val="single" w:color="auto" w:sz="8" w:space="0"/>
              <w:right w:val="single" w:color="auto" w:sz="8" w:space="0"/>
            </w:tcBorders>
            <w:vAlign w:val="center"/>
          </w:tcPr>
          <w:p w14:paraId="3B36B2FD">
            <w:pPr>
              <w:pStyle w:val="6"/>
              <w:spacing w:line="300" w:lineRule="auto"/>
              <w:ind w:firstLine="200"/>
              <w:rPr>
                <w:rFonts w:hint="eastAsia" w:hAnsi="宋体" w:eastAsia="宋体" w:cs="宋体"/>
                <w:kern w:val="0"/>
                <w:sz w:val="24"/>
                <w:szCs w:val="24"/>
              </w:rPr>
            </w:pPr>
          </w:p>
        </w:tc>
        <w:tc>
          <w:tcPr>
            <w:tcW w:w="895" w:type="dxa"/>
            <w:tcBorders>
              <w:top w:val="nil"/>
              <w:left w:val="nil"/>
              <w:bottom w:val="single" w:color="auto" w:sz="8" w:space="0"/>
              <w:right w:val="single" w:color="auto" w:sz="8" w:space="0"/>
            </w:tcBorders>
            <w:vAlign w:val="center"/>
          </w:tcPr>
          <w:p w14:paraId="649F9241">
            <w:pPr>
              <w:pStyle w:val="6"/>
              <w:spacing w:line="300" w:lineRule="auto"/>
              <w:ind w:firstLine="200"/>
              <w:rPr>
                <w:rFonts w:hint="eastAsia" w:hAnsi="宋体" w:eastAsia="宋体" w:cs="宋体"/>
                <w:kern w:val="0"/>
                <w:sz w:val="24"/>
                <w:szCs w:val="24"/>
              </w:rPr>
            </w:pPr>
          </w:p>
        </w:tc>
        <w:tc>
          <w:tcPr>
            <w:tcW w:w="1308" w:type="dxa"/>
            <w:tcBorders>
              <w:top w:val="nil"/>
              <w:left w:val="nil"/>
              <w:bottom w:val="single" w:color="auto" w:sz="8" w:space="0"/>
              <w:right w:val="single" w:color="auto" w:sz="8" w:space="0"/>
            </w:tcBorders>
            <w:vAlign w:val="center"/>
          </w:tcPr>
          <w:p w14:paraId="081BF78C">
            <w:pPr>
              <w:pStyle w:val="6"/>
              <w:spacing w:line="300" w:lineRule="auto"/>
              <w:ind w:firstLine="200"/>
              <w:rPr>
                <w:rFonts w:hint="eastAsia" w:hAnsi="宋体" w:eastAsia="宋体" w:cs="宋体"/>
                <w:kern w:val="0"/>
                <w:sz w:val="24"/>
                <w:szCs w:val="24"/>
              </w:rPr>
            </w:pPr>
          </w:p>
        </w:tc>
        <w:tc>
          <w:tcPr>
            <w:tcW w:w="852" w:type="dxa"/>
            <w:tcBorders>
              <w:top w:val="nil"/>
              <w:left w:val="nil"/>
              <w:bottom w:val="single" w:color="auto" w:sz="8" w:space="0"/>
              <w:right w:val="single" w:color="auto" w:sz="8" w:space="0"/>
            </w:tcBorders>
            <w:vAlign w:val="center"/>
          </w:tcPr>
          <w:p w14:paraId="2D95CE7F">
            <w:pPr>
              <w:widowControl/>
              <w:spacing w:line="300" w:lineRule="auto"/>
              <w:ind w:firstLine="200"/>
              <w:rPr>
                <w:rFonts w:hint="eastAsia" w:ascii="宋体" w:hAnsi="宋体" w:eastAsia="宋体" w:cs="宋体"/>
                <w:kern w:val="0"/>
                <w:sz w:val="24"/>
              </w:rPr>
            </w:pPr>
          </w:p>
        </w:tc>
        <w:tc>
          <w:tcPr>
            <w:tcW w:w="914" w:type="dxa"/>
            <w:tcBorders>
              <w:top w:val="nil"/>
              <w:left w:val="nil"/>
              <w:bottom w:val="single" w:color="auto" w:sz="8" w:space="0"/>
              <w:right w:val="single" w:color="auto" w:sz="8" w:space="0"/>
            </w:tcBorders>
            <w:vAlign w:val="center"/>
          </w:tcPr>
          <w:p w14:paraId="37E04205">
            <w:pPr>
              <w:widowControl/>
              <w:spacing w:line="300" w:lineRule="auto"/>
              <w:ind w:firstLine="200"/>
              <w:rPr>
                <w:rFonts w:hint="eastAsia" w:ascii="宋体" w:hAnsi="宋体" w:eastAsia="宋体" w:cs="宋体"/>
                <w:kern w:val="0"/>
                <w:sz w:val="24"/>
              </w:rPr>
            </w:pPr>
          </w:p>
        </w:tc>
        <w:tc>
          <w:tcPr>
            <w:tcW w:w="1276" w:type="dxa"/>
            <w:tcBorders>
              <w:top w:val="nil"/>
              <w:left w:val="nil"/>
              <w:bottom w:val="single" w:color="auto" w:sz="8" w:space="0"/>
              <w:right w:val="single" w:color="auto" w:sz="8" w:space="0"/>
            </w:tcBorders>
            <w:vAlign w:val="center"/>
          </w:tcPr>
          <w:p w14:paraId="2CEE9682">
            <w:pPr>
              <w:spacing w:line="300" w:lineRule="auto"/>
              <w:ind w:firstLine="200"/>
              <w:rPr>
                <w:rFonts w:hint="eastAsia" w:ascii="宋体" w:hAnsi="宋体" w:eastAsia="宋体" w:cs="宋体"/>
                <w:kern w:val="0"/>
                <w:sz w:val="24"/>
              </w:rPr>
            </w:pPr>
          </w:p>
        </w:tc>
        <w:tc>
          <w:tcPr>
            <w:tcW w:w="1466" w:type="dxa"/>
            <w:tcBorders>
              <w:top w:val="nil"/>
              <w:left w:val="nil"/>
              <w:bottom w:val="single" w:color="auto" w:sz="8" w:space="0"/>
              <w:right w:val="single" w:color="auto" w:sz="8" w:space="0"/>
            </w:tcBorders>
            <w:vAlign w:val="center"/>
          </w:tcPr>
          <w:p w14:paraId="7BECCFBB">
            <w:pPr>
              <w:spacing w:line="300" w:lineRule="auto"/>
              <w:ind w:firstLine="200"/>
              <w:rPr>
                <w:rFonts w:hint="eastAsia" w:ascii="宋体" w:hAnsi="宋体" w:eastAsia="宋体" w:cs="宋体"/>
                <w:kern w:val="0"/>
                <w:sz w:val="24"/>
              </w:rPr>
            </w:pPr>
          </w:p>
        </w:tc>
      </w:tr>
      <w:tr w14:paraId="7A6AC303">
        <w:tblPrEx>
          <w:tblCellMar>
            <w:top w:w="0" w:type="dxa"/>
            <w:left w:w="108" w:type="dxa"/>
            <w:bottom w:w="0" w:type="dxa"/>
            <w:right w:w="108" w:type="dxa"/>
          </w:tblCellMar>
        </w:tblPrEx>
        <w:trPr>
          <w:trHeight w:val="300" w:hRule="atLeast"/>
          <w:jc w:val="center"/>
        </w:trPr>
        <w:tc>
          <w:tcPr>
            <w:tcW w:w="1080" w:type="dxa"/>
            <w:tcBorders>
              <w:top w:val="nil"/>
              <w:left w:val="single" w:color="auto" w:sz="8" w:space="0"/>
              <w:bottom w:val="single" w:color="auto" w:sz="8" w:space="0"/>
              <w:right w:val="single" w:color="auto" w:sz="8" w:space="0"/>
            </w:tcBorders>
            <w:vAlign w:val="center"/>
          </w:tcPr>
          <w:p w14:paraId="1B763F0D">
            <w:pPr>
              <w:widowControl/>
              <w:spacing w:line="300" w:lineRule="auto"/>
              <w:ind w:firstLine="200"/>
              <w:rPr>
                <w:rFonts w:hint="eastAsia" w:ascii="宋体" w:hAnsi="宋体" w:eastAsia="宋体" w:cs="宋体"/>
                <w:kern w:val="0"/>
                <w:sz w:val="24"/>
              </w:rPr>
            </w:pPr>
            <w:r>
              <w:rPr>
                <w:rFonts w:hint="eastAsia" w:ascii="宋体" w:hAnsi="宋体" w:eastAsia="宋体" w:cs="宋体"/>
                <w:kern w:val="0"/>
                <w:sz w:val="24"/>
              </w:rPr>
              <w:t>2</w:t>
            </w:r>
          </w:p>
        </w:tc>
        <w:tc>
          <w:tcPr>
            <w:tcW w:w="1080" w:type="dxa"/>
            <w:tcBorders>
              <w:top w:val="nil"/>
              <w:left w:val="nil"/>
              <w:bottom w:val="single" w:color="auto" w:sz="8" w:space="0"/>
              <w:right w:val="single" w:color="auto" w:sz="8" w:space="0"/>
            </w:tcBorders>
            <w:vAlign w:val="center"/>
          </w:tcPr>
          <w:p w14:paraId="6BB5F1D7">
            <w:pPr>
              <w:pStyle w:val="6"/>
              <w:spacing w:line="300" w:lineRule="auto"/>
              <w:ind w:firstLine="200"/>
              <w:rPr>
                <w:rFonts w:hint="eastAsia" w:hAnsi="宋体" w:eastAsia="宋体" w:cs="宋体"/>
                <w:kern w:val="0"/>
                <w:sz w:val="24"/>
                <w:szCs w:val="24"/>
              </w:rPr>
            </w:pPr>
          </w:p>
        </w:tc>
        <w:tc>
          <w:tcPr>
            <w:tcW w:w="1265" w:type="dxa"/>
            <w:tcBorders>
              <w:top w:val="nil"/>
              <w:left w:val="nil"/>
              <w:bottom w:val="single" w:color="auto" w:sz="8" w:space="0"/>
              <w:right w:val="single" w:color="auto" w:sz="8" w:space="0"/>
            </w:tcBorders>
            <w:vAlign w:val="center"/>
          </w:tcPr>
          <w:p w14:paraId="35335252">
            <w:pPr>
              <w:pStyle w:val="6"/>
              <w:spacing w:line="300" w:lineRule="auto"/>
              <w:ind w:firstLine="200"/>
              <w:rPr>
                <w:rFonts w:hint="eastAsia" w:hAnsi="宋体" w:eastAsia="宋体" w:cs="宋体"/>
                <w:kern w:val="0"/>
                <w:sz w:val="24"/>
                <w:szCs w:val="24"/>
              </w:rPr>
            </w:pPr>
          </w:p>
        </w:tc>
        <w:tc>
          <w:tcPr>
            <w:tcW w:w="895" w:type="dxa"/>
            <w:tcBorders>
              <w:top w:val="nil"/>
              <w:left w:val="nil"/>
              <w:bottom w:val="single" w:color="auto" w:sz="8" w:space="0"/>
              <w:right w:val="single" w:color="auto" w:sz="8" w:space="0"/>
            </w:tcBorders>
            <w:vAlign w:val="center"/>
          </w:tcPr>
          <w:p w14:paraId="2EB482C9">
            <w:pPr>
              <w:pStyle w:val="6"/>
              <w:spacing w:line="300" w:lineRule="auto"/>
              <w:ind w:firstLine="200"/>
              <w:rPr>
                <w:rFonts w:hint="eastAsia" w:hAnsi="宋体" w:eastAsia="宋体" w:cs="宋体"/>
                <w:kern w:val="0"/>
                <w:sz w:val="24"/>
                <w:szCs w:val="24"/>
              </w:rPr>
            </w:pPr>
          </w:p>
        </w:tc>
        <w:tc>
          <w:tcPr>
            <w:tcW w:w="1308" w:type="dxa"/>
            <w:tcBorders>
              <w:top w:val="nil"/>
              <w:left w:val="nil"/>
              <w:bottom w:val="single" w:color="auto" w:sz="8" w:space="0"/>
              <w:right w:val="single" w:color="auto" w:sz="8" w:space="0"/>
            </w:tcBorders>
            <w:vAlign w:val="center"/>
          </w:tcPr>
          <w:p w14:paraId="383BC230">
            <w:pPr>
              <w:pStyle w:val="6"/>
              <w:spacing w:line="300" w:lineRule="auto"/>
              <w:ind w:firstLine="200"/>
              <w:rPr>
                <w:rFonts w:hint="eastAsia" w:hAnsi="宋体" w:eastAsia="宋体" w:cs="宋体"/>
                <w:kern w:val="0"/>
                <w:sz w:val="24"/>
                <w:szCs w:val="24"/>
              </w:rPr>
            </w:pPr>
          </w:p>
        </w:tc>
        <w:tc>
          <w:tcPr>
            <w:tcW w:w="852" w:type="dxa"/>
            <w:tcBorders>
              <w:top w:val="nil"/>
              <w:left w:val="nil"/>
              <w:bottom w:val="single" w:color="auto" w:sz="8" w:space="0"/>
              <w:right w:val="single" w:color="auto" w:sz="8" w:space="0"/>
            </w:tcBorders>
            <w:vAlign w:val="center"/>
          </w:tcPr>
          <w:p w14:paraId="2573344C">
            <w:pPr>
              <w:widowControl/>
              <w:spacing w:line="300" w:lineRule="auto"/>
              <w:ind w:firstLine="200"/>
              <w:rPr>
                <w:rFonts w:hint="eastAsia" w:ascii="宋体" w:hAnsi="宋体" w:eastAsia="宋体" w:cs="宋体"/>
                <w:kern w:val="0"/>
                <w:sz w:val="24"/>
              </w:rPr>
            </w:pPr>
          </w:p>
        </w:tc>
        <w:tc>
          <w:tcPr>
            <w:tcW w:w="914" w:type="dxa"/>
            <w:tcBorders>
              <w:top w:val="nil"/>
              <w:left w:val="nil"/>
              <w:bottom w:val="single" w:color="auto" w:sz="8" w:space="0"/>
              <w:right w:val="single" w:color="auto" w:sz="8" w:space="0"/>
            </w:tcBorders>
            <w:vAlign w:val="center"/>
          </w:tcPr>
          <w:p w14:paraId="615C0A9C">
            <w:pPr>
              <w:widowControl/>
              <w:spacing w:line="300" w:lineRule="auto"/>
              <w:ind w:firstLine="200"/>
              <w:rPr>
                <w:rFonts w:hint="eastAsia" w:ascii="宋体" w:hAnsi="宋体" w:eastAsia="宋体" w:cs="宋体"/>
                <w:kern w:val="0"/>
                <w:sz w:val="24"/>
              </w:rPr>
            </w:pPr>
          </w:p>
        </w:tc>
        <w:tc>
          <w:tcPr>
            <w:tcW w:w="1276" w:type="dxa"/>
            <w:tcBorders>
              <w:top w:val="nil"/>
              <w:left w:val="nil"/>
              <w:bottom w:val="single" w:color="auto" w:sz="8" w:space="0"/>
              <w:right w:val="single" w:color="auto" w:sz="8" w:space="0"/>
            </w:tcBorders>
            <w:vAlign w:val="center"/>
          </w:tcPr>
          <w:p w14:paraId="27DD85A8">
            <w:pPr>
              <w:spacing w:line="300" w:lineRule="auto"/>
              <w:ind w:firstLine="200"/>
              <w:rPr>
                <w:rFonts w:hint="eastAsia" w:ascii="宋体" w:hAnsi="宋体" w:eastAsia="宋体" w:cs="宋体"/>
                <w:kern w:val="0"/>
                <w:sz w:val="24"/>
              </w:rPr>
            </w:pPr>
          </w:p>
        </w:tc>
        <w:tc>
          <w:tcPr>
            <w:tcW w:w="1466" w:type="dxa"/>
            <w:tcBorders>
              <w:top w:val="nil"/>
              <w:left w:val="nil"/>
              <w:bottom w:val="single" w:color="auto" w:sz="8" w:space="0"/>
              <w:right w:val="single" w:color="auto" w:sz="8" w:space="0"/>
            </w:tcBorders>
            <w:vAlign w:val="center"/>
          </w:tcPr>
          <w:p w14:paraId="4EE41172">
            <w:pPr>
              <w:spacing w:line="300" w:lineRule="auto"/>
              <w:ind w:firstLine="200"/>
              <w:rPr>
                <w:rFonts w:hint="eastAsia" w:ascii="宋体" w:hAnsi="宋体" w:eastAsia="宋体" w:cs="宋体"/>
                <w:kern w:val="0"/>
                <w:sz w:val="24"/>
              </w:rPr>
            </w:pPr>
          </w:p>
        </w:tc>
      </w:tr>
      <w:tr w14:paraId="430A49F8">
        <w:tblPrEx>
          <w:tblCellMar>
            <w:top w:w="0" w:type="dxa"/>
            <w:left w:w="108" w:type="dxa"/>
            <w:bottom w:w="0" w:type="dxa"/>
            <w:right w:w="108" w:type="dxa"/>
          </w:tblCellMar>
        </w:tblPrEx>
        <w:trPr>
          <w:trHeight w:val="300" w:hRule="atLeast"/>
          <w:jc w:val="center"/>
        </w:trPr>
        <w:tc>
          <w:tcPr>
            <w:tcW w:w="10136" w:type="dxa"/>
            <w:gridSpan w:val="9"/>
            <w:tcBorders>
              <w:top w:val="single" w:color="auto" w:sz="8" w:space="0"/>
              <w:left w:val="single" w:color="auto" w:sz="8" w:space="0"/>
              <w:bottom w:val="single" w:color="auto" w:sz="8" w:space="0"/>
              <w:right w:val="single" w:color="000000" w:sz="8" w:space="0"/>
            </w:tcBorders>
            <w:vAlign w:val="center"/>
          </w:tcPr>
          <w:p w14:paraId="44B40D7D">
            <w:pPr>
              <w:widowControl/>
              <w:spacing w:line="300" w:lineRule="auto"/>
              <w:ind w:firstLine="200"/>
              <w:rPr>
                <w:rFonts w:hint="eastAsia" w:ascii="宋体" w:hAnsi="宋体" w:eastAsia="宋体" w:cs="宋体"/>
                <w:kern w:val="0"/>
                <w:sz w:val="24"/>
              </w:rPr>
            </w:pPr>
            <w:r>
              <w:rPr>
                <w:rFonts w:hint="eastAsia" w:ascii="宋体" w:hAnsi="宋体" w:eastAsia="宋体" w:cs="宋体"/>
                <w:kern w:val="0"/>
                <w:sz w:val="24"/>
              </w:rPr>
              <w:t>合计：</w:t>
            </w:r>
            <w:r>
              <w:rPr>
                <w:rFonts w:hint="eastAsia" w:ascii="宋体" w:hAnsi="宋体" w:eastAsia="宋体" w:cs="宋体"/>
                <w:b/>
                <w:bCs/>
                <w:kern w:val="0"/>
                <w:sz w:val="24"/>
              </w:rPr>
              <w:t>人民币（大写）：xxxxxx元整（</w:t>
            </w:r>
            <w:r>
              <w:rPr>
                <w:rFonts w:ascii="宋体" w:hAnsi="宋体" w:eastAsia="宋体" w:cs="Calibri"/>
                <w:b/>
                <w:bCs/>
                <w:kern w:val="0"/>
                <w:sz w:val="24"/>
              </w:rPr>
              <w:t>¥</w:t>
            </w:r>
            <w:r>
              <w:rPr>
                <w:rFonts w:hint="eastAsia" w:ascii="宋体" w:hAnsi="宋体" w:eastAsia="宋体" w:cs="宋体"/>
                <w:b/>
                <w:bCs/>
                <w:kern w:val="0"/>
                <w:sz w:val="24"/>
              </w:rPr>
              <w:t>:</w:t>
            </w:r>
            <w:r>
              <w:rPr>
                <w:rFonts w:ascii="宋体" w:hAnsi="宋体" w:eastAsia="宋体" w:cs="宋体"/>
                <w:b/>
                <w:bCs/>
                <w:kern w:val="0"/>
                <w:sz w:val="24"/>
              </w:rPr>
              <w:t>0</w:t>
            </w:r>
            <w:r>
              <w:rPr>
                <w:rFonts w:hint="eastAsia" w:ascii="宋体" w:hAnsi="宋体" w:eastAsia="宋体" w:cs="宋体"/>
                <w:b/>
                <w:bCs/>
                <w:kern w:val="0"/>
                <w:sz w:val="24"/>
              </w:rPr>
              <w:t>.00元）</w:t>
            </w:r>
          </w:p>
        </w:tc>
      </w:tr>
    </w:tbl>
    <w:p w14:paraId="77C71972">
      <w:pPr>
        <w:tabs>
          <w:tab w:val="left" w:pos="480"/>
        </w:tabs>
        <w:spacing w:line="300" w:lineRule="auto"/>
        <w:rPr>
          <w:rFonts w:hint="eastAsia" w:ascii="宋体" w:hAnsi="宋体" w:eastAsia="宋体" w:cs="仿宋"/>
          <w:b/>
          <w:sz w:val="24"/>
        </w:rPr>
      </w:pPr>
      <w:r>
        <w:rPr>
          <w:rFonts w:hint="eastAsia" w:ascii="宋体" w:hAnsi="宋体" w:eastAsia="宋体" w:cs="仿宋"/>
          <w:b/>
          <w:sz w:val="24"/>
        </w:rPr>
        <w:t>二、合同价款</w:t>
      </w:r>
    </w:p>
    <w:p w14:paraId="1CF420CB">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（一）合同总价款为人民币（大写）</w:t>
      </w:r>
      <w:r>
        <w:rPr>
          <w:rFonts w:hint="eastAsia" w:ascii="宋体" w:hAnsi="宋体" w:eastAsia="宋体" w:cs="仿宋"/>
          <w:sz w:val="24"/>
          <w:u w:val="single"/>
        </w:rPr>
        <w:t>xxxxx元整（</w:t>
      </w:r>
      <w:r>
        <w:rPr>
          <w:rFonts w:ascii="宋体" w:hAnsi="宋体" w:eastAsia="宋体" w:cs="Calibri"/>
          <w:sz w:val="24"/>
          <w:u w:val="single"/>
        </w:rPr>
        <w:t>¥</w:t>
      </w:r>
      <w:r>
        <w:rPr>
          <w:rFonts w:hint="eastAsia" w:ascii="宋体" w:hAnsi="宋体" w:eastAsia="宋体" w:cs="仿宋"/>
          <w:sz w:val="24"/>
          <w:u w:val="single"/>
        </w:rPr>
        <w:t>:</w:t>
      </w:r>
      <w:r>
        <w:rPr>
          <w:rFonts w:ascii="宋体" w:hAnsi="宋体" w:eastAsia="宋体" w:cs="仿宋"/>
          <w:sz w:val="24"/>
          <w:u w:val="single"/>
        </w:rPr>
        <w:t>0</w:t>
      </w:r>
      <w:r>
        <w:rPr>
          <w:rFonts w:hint="eastAsia" w:ascii="宋体" w:hAnsi="宋体" w:eastAsia="宋体" w:cs="仿宋"/>
          <w:sz w:val="24"/>
          <w:u w:val="single"/>
        </w:rPr>
        <w:t>.0</w:t>
      </w:r>
      <w:bookmarkStart w:id="1" w:name="_GoBack"/>
      <w:bookmarkEnd w:id="1"/>
      <w:r>
        <w:rPr>
          <w:rFonts w:hint="eastAsia" w:ascii="宋体" w:hAnsi="宋体" w:eastAsia="宋体" w:cs="仿宋"/>
          <w:sz w:val="24"/>
          <w:u w:val="single"/>
        </w:rPr>
        <w:t>0元）</w:t>
      </w:r>
      <w:r>
        <w:rPr>
          <w:rFonts w:hint="eastAsia" w:ascii="宋体" w:hAnsi="宋体" w:eastAsia="宋体" w:cs="仿宋"/>
          <w:sz w:val="24"/>
        </w:rPr>
        <w:t>。</w:t>
      </w:r>
    </w:p>
    <w:p w14:paraId="1C88EF53">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（二）合同总价包括：货物费、运输费（含保险费）、装卸费、检测验收、税金（含关税）、培训费、技术服务及其它费用。</w:t>
      </w:r>
    </w:p>
    <w:p w14:paraId="7F840767">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（三）合同总价一次性包死，不受市场价格变化因素的影响。</w:t>
      </w:r>
    </w:p>
    <w:p w14:paraId="57CAB42D">
      <w:pPr>
        <w:tabs>
          <w:tab w:val="left" w:pos="480"/>
        </w:tabs>
        <w:spacing w:line="300" w:lineRule="auto"/>
        <w:rPr>
          <w:rFonts w:hint="eastAsia" w:ascii="宋体" w:hAnsi="宋体" w:eastAsia="宋体" w:cs="仿宋"/>
          <w:sz w:val="24"/>
        </w:rPr>
      </w:pPr>
      <w:r>
        <w:rPr>
          <w:rFonts w:hint="eastAsia" w:ascii="宋体" w:hAnsi="宋体" w:eastAsia="宋体" w:cs="仿宋"/>
          <w:b/>
          <w:sz w:val="24"/>
        </w:rPr>
        <w:t>三、款项结算</w:t>
      </w:r>
    </w:p>
    <w:p w14:paraId="26A7BE6D">
      <w:pPr>
        <w:spacing w:line="300" w:lineRule="auto"/>
        <w:rPr>
          <w:rFonts w:hint="eastAsia" w:ascii="宋体" w:hAnsi="宋体" w:eastAsia="宋体" w:cs="仿宋"/>
          <w:sz w:val="24"/>
        </w:rPr>
      </w:pPr>
      <w:r>
        <w:rPr>
          <w:rFonts w:hint="eastAsia" w:ascii="宋体" w:hAnsi="宋体" w:eastAsia="宋体" w:cs="仿宋"/>
          <w:sz w:val="24"/>
        </w:rPr>
        <w:t>合同签订后，乙方须按其投标文件中响应的供货期按时交货并提供全额合规发票保证“货票同行”，货物到达甲方指定地点，验收合格后，甲方一次性支付合同总价款，即人民币（大写）         元整（小写：¥    0.00元）。</w:t>
      </w:r>
    </w:p>
    <w:p w14:paraId="6A73A911">
      <w:pPr>
        <w:spacing w:line="300" w:lineRule="auto"/>
        <w:rPr>
          <w:rFonts w:hint="eastAsia" w:ascii="宋体" w:hAnsi="宋体" w:eastAsia="宋体" w:cs="仿宋"/>
          <w:b/>
          <w:sz w:val="24"/>
        </w:rPr>
      </w:pPr>
      <w:r>
        <w:rPr>
          <w:rFonts w:hint="eastAsia" w:ascii="宋体" w:hAnsi="宋体" w:eastAsia="宋体" w:cs="仿宋"/>
          <w:b/>
          <w:sz w:val="24"/>
        </w:rPr>
        <w:t>四、交货条件：</w:t>
      </w:r>
    </w:p>
    <w:p w14:paraId="17111203">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（一）交货地点：</w:t>
      </w:r>
      <w:r>
        <w:rPr>
          <w:rFonts w:hint="eastAsia" w:ascii="宋体" w:hAnsi="宋体" w:eastAsia="宋体" w:cs="仿宋"/>
          <w:b/>
          <w:bCs/>
          <w:sz w:val="24"/>
        </w:rPr>
        <w:t>西安市疾病预防控制中心指定地点</w:t>
      </w:r>
      <w:r>
        <w:rPr>
          <w:rFonts w:hint="eastAsia" w:ascii="宋体" w:hAnsi="宋体" w:eastAsia="宋体" w:cs="仿宋"/>
          <w:bCs/>
          <w:sz w:val="24"/>
        </w:rPr>
        <w:t>。</w:t>
      </w:r>
    </w:p>
    <w:p w14:paraId="77311E90">
      <w:pPr>
        <w:tabs>
          <w:tab w:val="left" w:pos="480"/>
        </w:tabs>
        <w:spacing w:line="300" w:lineRule="auto"/>
        <w:ind w:firstLine="200"/>
        <w:rPr>
          <w:rFonts w:hint="eastAsia" w:ascii="宋体" w:hAnsi="宋体" w:eastAsia="宋体" w:cs="仿宋"/>
          <w:b/>
          <w:sz w:val="24"/>
        </w:rPr>
      </w:pPr>
      <w:r>
        <w:rPr>
          <w:rFonts w:hint="eastAsia" w:ascii="宋体" w:hAnsi="宋体" w:eastAsia="宋体" w:cs="仿宋"/>
          <w:sz w:val="24"/>
        </w:rPr>
        <w:t>（二）供货期限：合同签订完毕接到采购人送货通知后，30天内送达采购人指定地点</w:t>
      </w:r>
      <w:r>
        <w:rPr>
          <w:rFonts w:hint="eastAsia" w:ascii="宋体" w:hAnsi="宋体" w:eastAsia="宋体" w:cs="仿宋"/>
          <w:b/>
          <w:sz w:val="24"/>
        </w:rPr>
        <w:t>。</w:t>
      </w:r>
    </w:p>
    <w:p w14:paraId="14138C0B">
      <w:pPr>
        <w:tabs>
          <w:tab w:val="left" w:pos="480"/>
        </w:tabs>
        <w:spacing w:line="300" w:lineRule="auto"/>
        <w:rPr>
          <w:rFonts w:hint="eastAsia" w:ascii="宋体" w:hAnsi="宋体" w:eastAsia="宋体" w:cs="仿宋"/>
          <w:b/>
          <w:sz w:val="24"/>
        </w:rPr>
      </w:pPr>
      <w:r>
        <w:rPr>
          <w:rFonts w:hint="eastAsia" w:ascii="宋体" w:hAnsi="宋体" w:eastAsia="宋体" w:cs="仿宋"/>
          <w:b/>
          <w:sz w:val="24"/>
        </w:rPr>
        <w:t>五、运输</w:t>
      </w:r>
    </w:p>
    <w:p w14:paraId="768670F5">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（一）运输由乙方负责，运杂费已包含在合同总价内，包括从货物供应地点至交货地点所含的运输费、装卸费、仓储费、保险费等。</w:t>
      </w:r>
    </w:p>
    <w:p w14:paraId="207FDC11">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（二）运输方式由乙方自行选择，但必须保证按期交货。</w:t>
      </w:r>
    </w:p>
    <w:p w14:paraId="52099877">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（三）因运输产生的一切风险及质量问题均由乙方承担。</w:t>
      </w:r>
    </w:p>
    <w:p w14:paraId="48F4EC8E">
      <w:pPr>
        <w:tabs>
          <w:tab w:val="left" w:pos="480"/>
        </w:tabs>
        <w:spacing w:line="300" w:lineRule="auto"/>
        <w:rPr>
          <w:rFonts w:hint="eastAsia" w:ascii="宋体" w:hAnsi="宋体" w:eastAsia="宋体" w:cs="仿宋"/>
          <w:b/>
          <w:sz w:val="24"/>
        </w:rPr>
      </w:pPr>
      <w:r>
        <w:rPr>
          <w:rFonts w:hint="eastAsia" w:ascii="宋体" w:hAnsi="宋体" w:eastAsia="宋体" w:cs="仿宋"/>
          <w:b/>
          <w:sz w:val="24"/>
        </w:rPr>
        <w:t>六、质量保证</w:t>
      </w:r>
    </w:p>
    <w:p w14:paraId="15C6D1D8">
      <w:pPr>
        <w:spacing w:line="300" w:lineRule="auto"/>
        <w:ind w:firstLine="480" w:firstLineChars="200"/>
        <w:rPr>
          <w:rFonts w:hint="eastAsia" w:ascii="宋体" w:hAnsi="宋体" w:eastAsia="宋体" w:cs="仿宋"/>
          <w:sz w:val="24"/>
        </w:rPr>
      </w:pPr>
      <w:r>
        <w:rPr>
          <w:rFonts w:hint="eastAsia" w:ascii="宋体" w:hAnsi="宋体" w:eastAsia="宋体" w:cs="仿宋"/>
          <w:sz w:val="24"/>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14:paraId="0B063B13">
      <w:pPr>
        <w:spacing w:line="300" w:lineRule="auto"/>
        <w:rPr>
          <w:rFonts w:hint="eastAsia" w:ascii="宋体" w:hAnsi="宋体" w:eastAsia="宋体" w:cs="仿宋"/>
          <w:b/>
          <w:sz w:val="24"/>
        </w:rPr>
      </w:pPr>
      <w:r>
        <w:rPr>
          <w:rFonts w:hint="eastAsia" w:ascii="宋体" w:hAnsi="宋体" w:eastAsia="宋体" w:cs="仿宋"/>
          <w:b/>
          <w:sz w:val="24"/>
        </w:rPr>
        <w:t>七、售后服务</w:t>
      </w:r>
    </w:p>
    <w:p w14:paraId="1A052622">
      <w:pPr>
        <w:spacing w:line="300" w:lineRule="auto"/>
        <w:rPr>
          <w:rFonts w:hint="eastAsia" w:ascii="宋体" w:hAnsi="宋体" w:eastAsia="宋体" w:cs="仿宋"/>
          <w:sz w:val="24"/>
        </w:rPr>
      </w:pPr>
      <w:r>
        <w:rPr>
          <w:rFonts w:hint="eastAsia" w:ascii="宋体" w:hAnsi="宋体" w:eastAsia="宋体" w:cs="仿宋"/>
          <w:sz w:val="24"/>
        </w:rPr>
        <w:t>乙方为甲方所供货物须提供以下售后服务：</w:t>
      </w:r>
    </w:p>
    <w:p w14:paraId="6089A4C7">
      <w:pPr>
        <w:spacing w:line="300" w:lineRule="auto"/>
        <w:rPr>
          <w:rFonts w:hint="eastAsia" w:ascii="宋体" w:hAnsi="宋体" w:eastAsia="宋体" w:cs="仿宋"/>
          <w:sz w:val="24"/>
        </w:rPr>
      </w:pPr>
      <w:r>
        <w:rPr>
          <w:rFonts w:hint="eastAsia" w:ascii="宋体" w:hAnsi="宋体" w:eastAsia="宋体" w:cs="仿宋"/>
          <w:sz w:val="24"/>
        </w:rPr>
        <w:t>（一）根据投标人中标文件确定质保期。</w:t>
      </w:r>
    </w:p>
    <w:p w14:paraId="4EC4C5BD">
      <w:pPr>
        <w:spacing w:line="300" w:lineRule="auto"/>
        <w:rPr>
          <w:rFonts w:hint="eastAsia" w:ascii="宋体" w:hAnsi="宋体" w:eastAsia="宋体" w:cs="仿宋"/>
          <w:sz w:val="24"/>
          <w:highlight w:val="none"/>
        </w:rPr>
      </w:pPr>
      <w:r>
        <w:rPr>
          <w:rFonts w:hint="eastAsia" w:ascii="宋体" w:hAnsi="宋体" w:eastAsia="宋体" w:cs="仿宋"/>
          <w:sz w:val="24"/>
        </w:rPr>
        <w:t>（二）在质量保证期内，乙方对由于设计、工艺或材料的缺陷或运输、保存而产</w:t>
      </w:r>
      <w:r>
        <w:rPr>
          <w:rFonts w:hint="eastAsia" w:ascii="宋体" w:hAnsi="宋体" w:eastAsia="宋体" w:cs="仿宋"/>
          <w:sz w:val="24"/>
          <w:highlight w:val="none"/>
        </w:rPr>
        <w:t>生的事故负责（负责解决并承担全部费用）。</w:t>
      </w:r>
    </w:p>
    <w:p w14:paraId="116B2194">
      <w:pPr>
        <w:spacing w:line="300" w:lineRule="auto"/>
        <w:rPr>
          <w:rFonts w:hint="eastAsia" w:ascii="宋体" w:hAnsi="宋体" w:eastAsia="宋体" w:cs="仿宋"/>
          <w:sz w:val="24"/>
          <w:highlight w:val="none"/>
        </w:rPr>
      </w:pPr>
      <w:r>
        <w:rPr>
          <w:rFonts w:hint="eastAsia" w:ascii="宋体" w:hAnsi="宋体" w:eastAsia="宋体" w:cs="仿宋"/>
          <w:sz w:val="24"/>
          <w:highlight w:val="none"/>
        </w:rPr>
        <w:t>（三）试剂在使用过程中，如有任何问题，保证2小时内答复，4小时内到达用户现场解决问题，直至保证试剂能够正常使用。在应急突发、节假日期间如遇急需试剂可24小时随时响应，2小时内将试剂送达用户现场，如遇夜间4小时内送达用户现场。</w:t>
      </w:r>
    </w:p>
    <w:p w14:paraId="02CCF8C9">
      <w:pPr>
        <w:tabs>
          <w:tab w:val="left" w:pos="480"/>
        </w:tabs>
        <w:spacing w:line="300" w:lineRule="auto"/>
        <w:rPr>
          <w:rFonts w:hint="eastAsia" w:ascii="宋体" w:hAnsi="宋体" w:eastAsia="宋体" w:cs="仿宋"/>
          <w:b/>
          <w:sz w:val="24"/>
          <w:highlight w:val="none"/>
        </w:rPr>
      </w:pPr>
      <w:r>
        <w:rPr>
          <w:rFonts w:hint="eastAsia" w:ascii="宋体" w:hAnsi="宋体" w:eastAsia="宋体" w:cs="仿宋"/>
          <w:b/>
          <w:sz w:val="24"/>
          <w:highlight w:val="none"/>
        </w:rPr>
        <w:t>八、技术与服务</w:t>
      </w:r>
    </w:p>
    <w:p w14:paraId="5AD54A3F">
      <w:pPr>
        <w:tabs>
          <w:tab w:val="left" w:pos="480"/>
        </w:tabs>
        <w:spacing w:line="300" w:lineRule="auto"/>
        <w:rPr>
          <w:rFonts w:hint="eastAsia" w:ascii="宋体" w:hAnsi="宋体" w:eastAsia="宋体" w:cs="仿宋"/>
          <w:bCs/>
          <w:sz w:val="24"/>
          <w:highlight w:val="none"/>
        </w:rPr>
      </w:pPr>
      <w:r>
        <w:rPr>
          <w:rFonts w:hint="eastAsia" w:ascii="宋体" w:hAnsi="宋体" w:eastAsia="宋体" w:cs="仿宋"/>
          <w:bCs/>
          <w:sz w:val="24"/>
          <w:highlight w:val="none"/>
        </w:rPr>
        <w:t>（一）技术资料：</w:t>
      </w:r>
    </w:p>
    <w:p w14:paraId="30261F7C">
      <w:pPr>
        <w:tabs>
          <w:tab w:val="left" w:pos="480"/>
        </w:tabs>
        <w:spacing w:line="300" w:lineRule="auto"/>
        <w:rPr>
          <w:rFonts w:hint="eastAsia" w:ascii="宋体" w:hAnsi="宋体" w:eastAsia="宋体" w:cs="仿宋"/>
          <w:bCs/>
          <w:sz w:val="24"/>
        </w:rPr>
      </w:pPr>
      <w:r>
        <w:rPr>
          <w:rFonts w:hint="eastAsia" w:ascii="宋体" w:hAnsi="宋体" w:eastAsia="宋体" w:cs="仿宋"/>
          <w:bCs/>
          <w:sz w:val="24"/>
        </w:rPr>
        <w:t>1.操作使用说明和保存条件。</w:t>
      </w:r>
    </w:p>
    <w:p w14:paraId="2CA2F892">
      <w:pPr>
        <w:tabs>
          <w:tab w:val="left" w:pos="480"/>
        </w:tabs>
        <w:spacing w:line="300" w:lineRule="auto"/>
        <w:rPr>
          <w:rFonts w:hint="eastAsia" w:ascii="宋体" w:hAnsi="宋体" w:eastAsia="宋体" w:cs="仿宋"/>
          <w:bCs/>
          <w:sz w:val="24"/>
        </w:rPr>
      </w:pPr>
      <w:r>
        <w:rPr>
          <w:rFonts w:hint="eastAsia" w:ascii="宋体" w:hAnsi="宋体" w:eastAsia="宋体" w:cs="仿宋"/>
          <w:bCs/>
          <w:sz w:val="24"/>
        </w:rPr>
        <w:t xml:space="preserve">2.制造厂商的检验、测试报告、检验合格证书，质量保证书等文件须验收时一并提供。        </w:t>
      </w:r>
    </w:p>
    <w:p w14:paraId="085BE12E">
      <w:pPr>
        <w:tabs>
          <w:tab w:val="left" w:pos="480"/>
        </w:tabs>
        <w:spacing w:line="300" w:lineRule="auto"/>
        <w:rPr>
          <w:rFonts w:hint="eastAsia" w:ascii="宋体" w:hAnsi="宋体" w:eastAsia="宋体" w:cs="仿宋"/>
          <w:bCs/>
          <w:sz w:val="24"/>
        </w:rPr>
      </w:pPr>
      <w:r>
        <w:rPr>
          <w:rFonts w:hint="eastAsia" w:ascii="宋体" w:hAnsi="宋体" w:eastAsia="宋体" w:cs="仿宋"/>
          <w:bCs/>
          <w:sz w:val="24"/>
        </w:rPr>
        <w:t xml:space="preserve">3.货物验收标准      </w:t>
      </w:r>
    </w:p>
    <w:p w14:paraId="6EAB6116">
      <w:pPr>
        <w:tabs>
          <w:tab w:val="left" w:pos="480"/>
        </w:tabs>
        <w:spacing w:line="300" w:lineRule="auto"/>
        <w:rPr>
          <w:rFonts w:hint="eastAsia" w:ascii="宋体" w:hAnsi="宋体" w:eastAsia="宋体" w:cs="仿宋"/>
          <w:bCs/>
          <w:sz w:val="24"/>
        </w:rPr>
      </w:pPr>
      <w:r>
        <w:rPr>
          <w:rFonts w:hint="eastAsia" w:ascii="宋体" w:hAnsi="宋体" w:eastAsia="宋体" w:cs="仿宋"/>
          <w:bCs/>
          <w:sz w:val="24"/>
        </w:rPr>
        <w:t xml:space="preserve">4.使用说明书                </w:t>
      </w:r>
    </w:p>
    <w:p w14:paraId="4D3E3E62">
      <w:pPr>
        <w:tabs>
          <w:tab w:val="left" w:pos="480"/>
        </w:tabs>
        <w:spacing w:line="300" w:lineRule="auto"/>
        <w:rPr>
          <w:rFonts w:hint="eastAsia" w:ascii="宋体" w:hAnsi="宋体" w:eastAsia="宋体" w:cs="仿宋"/>
          <w:bCs/>
          <w:sz w:val="24"/>
        </w:rPr>
      </w:pPr>
      <w:r>
        <w:rPr>
          <w:rFonts w:hint="eastAsia" w:ascii="宋体" w:hAnsi="宋体" w:eastAsia="宋体" w:cs="仿宋"/>
          <w:bCs/>
          <w:sz w:val="24"/>
        </w:rPr>
        <w:t xml:space="preserve">5.必须的其它技术资料。      </w:t>
      </w:r>
    </w:p>
    <w:p w14:paraId="330FEDE9">
      <w:pPr>
        <w:tabs>
          <w:tab w:val="left" w:pos="480"/>
        </w:tabs>
        <w:spacing w:line="300" w:lineRule="auto"/>
        <w:rPr>
          <w:rFonts w:hint="eastAsia" w:ascii="宋体" w:hAnsi="宋体" w:eastAsia="宋体" w:cs="仿宋"/>
          <w:bCs/>
          <w:sz w:val="24"/>
        </w:rPr>
      </w:pPr>
      <w:r>
        <w:rPr>
          <w:rFonts w:hint="eastAsia" w:ascii="宋体" w:hAnsi="宋体" w:eastAsia="宋体" w:cs="仿宋"/>
          <w:bCs/>
          <w:sz w:val="24"/>
        </w:rPr>
        <w:t>6.合同中要求的其他文件资料</w:t>
      </w:r>
    </w:p>
    <w:p w14:paraId="25B4F827">
      <w:pPr>
        <w:tabs>
          <w:tab w:val="left" w:pos="480"/>
        </w:tabs>
        <w:spacing w:line="300" w:lineRule="auto"/>
        <w:rPr>
          <w:rFonts w:hint="eastAsia" w:ascii="宋体" w:hAnsi="宋体" w:eastAsia="宋体" w:cs="仿宋"/>
          <w:bCs/>
          <w:sz w:val="24"/>
        </w:rPr>
      </w:pPr>
      <w:r>
        <w:rPr>
          <w:rFonts w:hint="eastAsia" w:ascii="宋体" w:hAnsi="宋体" w:eastAsia="宋体" w:cs="仿宋"/>
          <w:bCs/>
          <w:sz w:val="24"/>
        </w:rPr>
        <w:t>（二）培训要求：验收后，乙方需为甲方培训操作使用技术人员二名，提高操作培训二名，培训服务以受培训人员熟练掌握相应技能为原则。</w:t>
      </w:r>
    </w:p>
    <w:p w14:paraId="52494830">
      <w:pPr>
        <w:tabs>
          <w:tab w:val="left" w:pos="480"/>
        </w:tabs>
        <w:spacing w:line="300" w:lineRule="auto"/>
        <w:rPr>
          <w:rFonts w:hint="eastAsia" w:ascii="宋体" w:hAnsi="宋体" w:eastAsia="宋体" w:cs="仿宋"/>
          <w:bCs/>
          <w:sz w:val="24"/>
        </w:rPr>
      </w:pPr>
      <w:r>
        <w:rPr>
          <w:rFonts w:hint="eastAsia" w:ascii="宋体" w:hAnsi="宋体" w:eastAsia="宋体" w:cs="仿宋"/>
          <w:bCs/>
          <w:sz w:val="24"/>
        </w:rPr>
        <w:t>（三）服务承诺：以投标文件、澄清表（函）、合同和随货物的相关文件为准。</w:t>
      </w:r>
    </w:p>
    <w:p w14:paraId="61CD0034">
      <w:pPr>
        <w:tabs>
          <w:tab w:val="left" w:pos="480"/>
        </w:tabs>
        <w:spacing w:line="300" w:lineRule="auto"/>
        <w:rPr>
          <w:rFonts w:hint="eastAsia" w:ascii="宋体" w:hAnsi="宋体" w:eastAsia="宋体" w:cs="仿宋"/>
          <w:b/>
          <w:sz w:val="24"/>
        </w:rPr>
      </w:pPr>
      <w:r>
        <w:rPr>
          <w:rFonts w:hint="eastAsia" w:ascii="宋体" w:hAnsi="宋体" w:eastAsia="宋体" w:cs="仿宋"/>
          <w:b/>
          <w:sz w:val="24"/>
        </w:rPr>
        <w:t>九、验收</w:t>
      </w:r>
    </w:p>
    <w:p w14:paraId="08BBDCBA">
      <w:pPr>
        <w:tabs>
          <w:tab w:val="left" w:pos="480"/>
        </w:tabs>
        <w:spacing w:line="300" w:lineRule="auto"/>
        <w:ind w:firstLine="480" w:firstLineChars="200"/>
        <w:rPr>
          <w:rFonts w:hint="eastAsia" w:ascii="宋体" w:hAnsi="宋体" w:eastAsia="宋体" w:cs="仿宋"/>
          <w:sz w:val="24"/>
        </w:rPr>
      </w:pPr>
      <w:r>
        <w:rPr>
          <w:rFonts w:hint="eastAsia" w:ascii="宋体" w:hAnsi="宋体" w:eastAsia="宋体" w:cs="仿宋"/>
          <w:sz w:val="24"/>
        </w:rPr>
        <w:t>由甲方和乙方共同对货物进行验收。其内容包括确认货物的包装、产地、规格、型号和数量，对其货物技术指标、性能参数进行逐项核验。</w:t>
      </w:r>
    </w:p>
    <w:p w14:paraId="4068AAC6">
      <w:pPr>
        <w:tabs>
          <w:tab w:val="left" w:pos="480"/>
        </w:tabs>
        <w:spacing w:line="300" w:lineRule="auto"/>
        <w:rPr>
          <w:rFonts w:hint="eastAsia" w:ascii="宋体" w:hAnsi="宋体" w:eastAsia="宋体" w:cs="仿宋"/>
          <w:sz w:val="24"/>
        </w:rPr>
      </w:pPr>
      <w:r>
        <w:rPr>
          <w:rFonts w:hint="eastAsia" w:ascii="宋体" w:hAnsi="宋体" w:eastAsia="宋体" w:cs="仿宋"/>
          <w:sz w:val="24"/>
        </w:rPr>
        <w:t>1.验收货物的指标、性能参数未通过验收达到合同要求，或出现甲方不能正常使用的情况，将视为验收不合格，乙方应及时更换或退货。</w:t>
      </w:r>
    </w:p>
    <w:p w14:paraId="7783F959">
      <w:pPr>
        <w:tabs>
          <w:tab w:val="left" w:pos="480"/>
        </w:tabs>
        <w:spacing w:line="300" w:lineRule="auto"/>
        <w:rPr>
          <w:rFonts w:hint="eastAsia" w:ascii="宋体" w:hAnsi="宋体" w:eastAsia="宋体" w:cs="仿宋"/>
          <w:sz w:val="24"/>
        </w:rPr>
      </w:pPr>
      <w:r>
        <w:rPr>
          <w:rFonts w:hint="eastAsia" w:ascii="宋体" w:hAnsi="宋体" w:eastAsia="宋体" w:cs="仿宋"/>
          <w:sz w:val="24"/>
        </w:rPr>
        <w:t>2.若发现乙方有弄虚作假的，故意或随意夸大货物技术性能，甲方除要求退货外，有权要求乙方赔偿甲方相应的损失。</w:t>
      </w:r>
    </w:p>
    <w:p w14:paraId="44933595">
      <w:pPr>
        <w:tabs>
          <w:tab w:val="left" w:pos="480"/>
        </w:tabs>
        <w:spacing w:line="300" w:lineRule="auto"/>
        <w:rPr>
          <w:rFonts w:hint="eastAsia" w:ascii="宋体" w:hAnsi="宋体" w:eastAsia="宋体" w:cs="仿宋"/>
          <w:sz w:val="24"/>
        </w:rPr>
      </w:pPr>
      <w:r>
        <w:rPr>
          <w:rFonts w:hint="eastAsia" w:ascii="宋体" w:hAnsi="宋体" w:eastAsia="宋体" w:cs="仿宋"/>
          <w:sz w:val="24"/>
        </w:rPr>
        <w:t>3.验收标准：按合同文件及澄清等技术指标进行验收。货物的各项指标均应符合验收标准及要求。</w:t>
      </w:r>
    </w:p>
    <w:p w14:paraId="77DBDAC8">
      <w:pPr>
        <w:tabs>
          <w:tab w:val="left" w:pos="480"/>
        </w:tabs>
        <w:spacing w:line="300" w:lineRule="auto"/>
        <w:rPr>
          <w:rFonts w:hint="eastAsia" w:ascii="宋体" w:hAnsi="宋体" w:eastAsia="宋体" w:cs="仿宋"/>
          <w:sz w:val="24"/>
        </w:rPr>
      </w:pPr>
      <w:r>
        <w:rPr>
          <w:rFonts w:hint="eastAsia" w:ascii="宋体" w:hAnsi="宋体" w:eastAsia="宋体" w:cs="仿宋"/>
          <w:sz w:val="24"/>
        </w:rPr>
        <w:t xml:space="preserve">4.验收合格后，填写验收单，甲方签字后生效。                </w:t>
      </w:r>
    </w:p>
    <w:p w14:paraId="009D0D6F">
      <w:pPr>
        <w:tabs>
          <w:tab w:val="left" w:pos="480"/>
        </w:tabs>
        <w:spacing w:line="300" w:lineRule="auto"/>
        <w:rPr>
          <w:rFonts w:hint="eastAsia" w:ascii="宋体" w:hAnsi="宋体" w:eastAsia="宋体" w:cs="仿宋"/>
          <w:sz w:val="24"/>
        </w:rPr>
      </w:pPr>
      <w:r>
        <w:rPr>
          <w:rFonts w:hint="eastAsia" w:ascii="宋体" w:hAnsi="宋体" w:eastAsia="宋体" w:cs="仿宋"/>
          <w:sz w:val="24"/>
        </w:rPr>
        <w:t xml:space="preserve">5.验收依据：                                                    </w:t>
      </w:r>
    </w:p>
    <w:p w14:paraId="16DA39A2">
      <w:pPr>
        <w:tabs>
          <w:tab w:val="left" w:pos="480"/>
        </w:tabs>
        <w:spacing w:line="300" w:lineRule="auto"/>
        <w:rPr>
          <w:rFonts w:hint="eastAsia" w:ascii="宋体" w:hAnsi="宋体" w:eastAsia="宋体" w:cs="仿宋"/>
          <w:sz w:val="24"/>
        </w:rPr>
      </w:pPr>
      <w:r>
        <w:rPr>
          <w:rFonts w:hint="eastAsia" w:ascii="宋体" w:hAnsi="宋体" w:eastAsia="宋体" w:cs="仿宋"/>
          <w:sz w:val="24"/>
        </w:rPr>
        <w:t xml:space="preserve">5.1本合同文本：                                                                         </w:t>
      </w:r>
    </w:p>
    <w:p w14:paraId="2F4A350C">
      <w:pPr>
        <w:tabs>
          <w:tab w:val="left" w:pos="480"/>
        </w:tabs>
        <w:spacing w:line="300" w:lineRule="auto"/>
        <w:rPr>
          <w:rFonts w:hint="eastAsia" w:ascii="宋体" w:hAnsi="宋体" w:eastAsia="宋体" w:cs="仿宋"/>
          <w:sz w:val="24"/>
        </w:rPr>
      </w:pPr>
      <w:r>
        <w:rPr>
          <w:rFonts w:hint="eastAsia" w:ascii="宋体" w:hAnsi="宋体" w:eastAsia="宋体" w:cs="仿宋"/>
          <w:sz w:val="24"/>
        </w:rPr>
        <w:t xml:space="preserve">5.2国家和行业制定的相应的标准和规范。                          </w:t>
      </w:r>
    </w:p>
    <w:p w14:paraId="22292B4A">
      <w:pPr>
        <w:tabs>
          <w:tab w:val="left" w:pos="480"/>
        </w:tabs>
        <w:spacing w:line="300" w:lineRule="auto"/>
        <w:rPr>
          <w:rFonts w:hint="eastAsia" w:ascii="宋体" w:hAnsi="宋体" w:eastAsia="宋体" w:cs="仿宋"/>
          <w:sz w:val="24"/>
        </w:rPr>
      </w:pPr>
      <w:r>
        <w:rPr>
          <w:rFonts w:hint="eastAsia" w:ascii="宋体" w:hAnsi="宋体" w:eastAsia="宋体" w:cs="仿宋"/>
          <w:sz w:val="24"/>
        </w:rPr>
        <w:t>5.3验收清单（注明品名、数量、价格、规格型号、产地和生产厂家）。</w:t>
      </w:r>
    </w:p>
    <w:p w14:paraId="54FCD27B">
      <w:pPr>
        <w:tabs>
          <w:tab w:val="left" w:pos="480"/>
        </w:tabs>
        <w:spacing w:line="300" w:lineRule="auto"/>
        <w:rPr>
          <w:rFonts w:hint="eastAsia" w:ascii="宋体" w:hAnsi="宋体" w:eastAsia="宋体" w:cs="仿宋"/>
          <w:b/>
          <w:sz w:val="24"/>
        </w:rPr>
      </w:pPr>
      <w:r>
        <w:rPr>
          <w:rFonts w:hint="eastAsia" w:ascii="宋体" w:hAnsi="宋体" w:eastAsia="宋体" w:cs="仿宋"/>
          <w:b/>
          <w:sz w:val="24"/>
        </w:rPr>
        <w:t>十、违约责任</w:t>
      </w:r>
    </w:p>
    <w:p w14:paraId="2DFC987C">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（一）按《中华人民共和国民法典》中的相关条款执行。</w:t>
      </w:r>
    </w:p>
    <w:p w14:paraId="08BCF163">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10B81D84">
      <w:pPr>
        <w:tabs>
          <w:tab w:val="left" w:pos="480"/>
        </w:tabs>
        <w:spacing w:line="300" w:lineRule="auto"/>
        <w:ind w:firstLine="480" w:firstLineChars="200"/>
        <w:rPr>
          <w:rFonts w:hint="eastAsia" w:ascii="宋体" w:hAnsi="宋体" w:eastAsia="宋体" w:cs="仿宋"/>
          <w:sz w:val="24"/>
        </w:rPr>
      </w:pPr>
      <w:r>
        <w:rPr>
          <w:rFonts w:hint="eastAsia" w:ascii="宋体" w:hAnsi="宋体" w:eastAsia="宋体" w:cs="仿宋"/>
          <w:sz w:val="24"/>
        </w:rPr>
        <w:t>1.乙方赔偿甲方解除合同的全部损失（包括但不限于重新采购产生的费用、合同未履行导致货物不能按规划交付使用可能产生的由此造成的甲方对第三方的违约损失）；</w:t>
      </w:r>
    </w:p>
    <w:p w14:paraId="00850EED">
      <w:pPr>
        <w:tabs>
          <w:tab w:val="left" w:pos="480"/>
        </w:tabs>
        <w:spacing w:line="300" w:lineRule="auto"/>
        <w:ind w:firstLine="480" w:firstLineChars="200"/>
        <w:rPr>
          <w:rFonts w:hint="eastAsia" w:ascii="宋体" w:hAnsi="宋体" w:eastAsia="宋体" w:cs="仿宋"/>
          <w:sz w:val="24"/>
        </w:rPr>
      </w:pPr>
      <w:r>
        <w:rPr>
          <w:rFonts w:hint="eastAsia" w:ascii="宋体" w:hAnsi="宋体" w:eastAsia="宋体" w:cs="仿宋"/>
          <w:sz w:val="24"/>
        </w:rPr>
        <w:t>2.乙方支付甲方违约金，违约金计算方法：以合同总价为基数，支付甲方合同总价的30%为违约金。同时对乙方的违约行为报监管机构进行相应的处罚。</w:t>
      </w:r>
    </w:p>
    <w:p w14:paraId="19099DBF">
      <w:pPr>
        <w:pStyle w:val="7"/>
        <w:ind w:firstLine="480" w:firstLineChars="200"/>
        <w:rPr>
          <w:rFonts w:hint="eastAsia" w:ascii="宋体" w:hAnsi="宋体" w:cs="仿宋"/>
          <w:sz w:val="24"/>
        </w:rPr>
      </w:pPr>
      <w:r>
        <w:rPr>
          <w:rFonts w:hint="eastAsia" w:ascii="宋体" w:hAnsi="宋体" w:cs="仿宋"/>
          <w:sz w:val="24"/>
        </w:rPr>
        <w:t>3.乙方不能按期交货，每延迟一天，应向甲方支付不能交货部分货款1‰的违约金。甲方有权从应付货款中扣除违约金。逾期交货超过20天，甲方有权单方解除合同，自甲方合同解除通知送达之日，合同解除生效，乙方应按合同价的30%向甲方支付违约金。</w:t>
      </w:r>
    </w:p>
    <w:p w14:paraId="65FE33A7">
      <w:pPr>
        <w:tabs>
          <w:tab w:val="left" w:pos="480"/>
        </w:tabs>
        <w:spacing w:line="300" w:lineRule="auto"/>
        <w:rPr>
          <w:rFonts w:hint="eastAsia" w:ascii="宋体" w:hAnsi="宋体" w:eastAsia="宋体" w:cs="仿宋"/>
          <w:sz w:val="24"/>
        </w:rPr>
      </w:pPr>
      <w:r>
        <w:rPr>
          <w:rFonts w:hint="eastAsia" w:ascii="宋体" w:hAnsi="宋体" w:eastAsia="宋体" w:cs="仿宋"/>
          <w:sz w:val="24"/>
        </w:rPr>
        <w:t>十一、合同争议解决的方式</w:t>
      </w:r>
    </w:p>
    <w:p w14:paraId="66AB4082">
      <w:pPr>
        <w:tabs>
          <w:tab w:val="left" w:pos="480"/>
        </w:tabs>
        <w:spacing w:line="300" w:lineRule="auto"/>
        <w:ind w:firstLine="480" w:firstLineChars="200"/>
        <w:rPr>
          <w:rFonts w:hint="eastAsia" w:ascii="宋体" w:hAnsi="宋体" w:eastAsia="宋体" w:cs="仿宋"/>
          <w:sz w:val="24"/>
        </w:rPr>
      </w:pPr>
      <w:r>
        <w:rPr>
          <w:rFonts w:hint="eastAsia" w:ascii="宋体" w:hAnsi="宋体" w:eastAsia="宋体" w:cs="仿宋"/>
          <w:sz w:val="24"/>
        </w:rPr>
        <w:t>本合同在履行过程中发生的争议，由甲、乙双方当事人协商解决，协商不成的依法向甲方所在地人民法院起诉。</w:t>
      </w:r>
    </w:p>
    <w:p w14:paraId="006F9D35">
      <w:pPr>
        <w:tabs>
          <w:tab w:val="left" w:pos="480"/>
        </w:tabs>
        <w:spacing w:line="300" w:lineRule="auto"/>
        <w:rPr>
          <w:rFonts w:hint="eastAsia" w:ascii="宋体" w:hAnsi="宋体" w:eastAsia="宋体" w:cs="仿宋"/>
          <w:b/>
          <w:sz w:val="24"/>
        </w:rPr>
      </w:pPr>
      <w:r>
        <w:rPr>
          <w:rFonts w:hint="eastAsia" w:ascii="宋体" w:hAnsi="宋体" w:eastAsia="宋体" w:cs="仿宋"/>
          <w:b/>
          <w:sz w:val="24"/>
        </w:rPr>
        <w:t>十二、合同生效</w:t>
      </w:r>
    </w:p>
    <w:p w14:paraId="6340C3CD">
      <w:pPr>
        <w:tabs>
          <w:tab w:val="left" w:pos="480"/>
        </w:tabs>
        <w:spacing w:line="300" w:lineRule="auto"/>
        <w:ind w:firstLine="480" w:firstLineChars="200"/>
        <w:rPr>
          <w:rFonts w:hint="eastAsia" w:ascii="宋体" w:hAnsi="宋体" w:eastAsia="宋体" w:cs="仿宋"/>
          <w:sz w:val="24"/>
        </w:rPr>
      </w:pPr>
      <w:r>
        <w:rPr>
          <w:rFonts w:hint="eastAsia" w:ascii="宋体" w:hAnsi="宋体" w:eastAsia="宋体" w:cs="仿宋"/>
          <w:sz w:val="24"/>
        </w:rPr>
        <w:t>本合同一式</w:t>
      </w:r>
      <w:r>
        <w:rPr>
          <w:rFonts w:hint="eastAsia" w:ascii="宋体" w:hAnsi="宋体" w:eastAsia="宋体" w:cs="仿宋"/>
          <w:b/>
          <w:bCs/>
          <w:sz w:val="24"/>
          <w:u w:val="single"/>
        </w:rPr>
        <w:t>柒</w:t>
      </w:r>
      <w:r>
        <w:rPr>
          <w:rFonts w:hint="eastAsia" w:ascii="宋体" w:hAnsi="宋体" w:eastAsia="宋体" w:cs="仿宋"/>
          <w:sz w:val="24"/>
        </w:rPr>
        <w:t>份，甲方</w:t>
      </w:r>
      <w:r>
        <w:rPr>
          <w:rFonts w:hint="eastAsia" w:ascii="宋体" w:hAnsi="宋体" w:eastAsia="宋体" w:cs="仿宋"/>
          <w:b/>
          <w:bCs/>
          <w:sz w:val="24"/>
          <w:u w:val="single"/>
        </w:rPr>
        <w:t>伍</w:t>
      </w:r>
      <w:r>
        <w:rPr>
          <w:rFonts w:hint="eastAsia" w:ascii="宋体" w:hAnsi="宋体" w:eastAsia="宋体" w:cs="仿宋"/>
          <w:sz w:val="24"/>
        </w:rPr>
        <w:t>份，乙方</w:t>
      </w:r>
      <w:r>
        <w:rPr>
          <w:rFonts w:hint="eastAsia" w:ascii="宋体" w:hAnsi="宋体" w:eastAsia="宋体" w:cs="仿宋"/>
          <w:b/>
          <w:bCs/>
          <w:sz w:val="24"/>
          <w:u w:val="single"/>
        </w:rPr>
        <w:t>壹</w:t>
      </w:r>
      <w:r>
        <w:rPr>
          <w:rFonts w:hint="eastAsia" w:ascii="宋体" w:hAnsi="宋体" w:eastAsia="宋体" w:cs="仿宋"/>
          <w:sz w:val="24"/>
        </w:rPr>
        <w:t>份，鉴证方</w:t>
      </w:r>
      <w:r>
        <w:rPr>
          <w:rFonts w:hint="eastAsia" w:ascii="宋体" w:hAnsi="宋体" w:eastAsia="宋体" w:cs="仿宋"/>
          <w:b/>
          <w:sz w:val="24"/>
          <w:u w:val="single"/>
        </w:rPr>
        <w:t>壹</w:t>
      </w:r>
      <w:r>
        <w:rPr>
          <w:rFonts w:hint="eastAsia" w:ascii="宋体" w:hAnsi="宋体" w:eastAsia="宋体" w:cs="仿宋"/>
          <w:sz w:val="24"/>
        </w:rPr>
        <w:t>份，本合同经甲方、乙方和鉴证方签字盖章后生效，质保期结束后，自动终止（但合同的服务承诺除外）。</w:t>
      </w:r>
    </w:p>
    <w:p w14:paraId="720339DB">
      <w:pPr>
        <w:tabs>
          <w:tab w:val="left" w:pos="480"/>
        </w:tabs>
        <w:spacing w:line="300" w:lineRule="auto"/>
        <w:rPr>
          <w:rFonts w:hint="eastAsia" w:ascii="宋体" w:hAnsi="宋体" w:eastAsia="宋体" w:cs="仿宋"/>
          <w:b/>
          <w:sz w:val="24"/>
        </w:rPr>
      </w:pPr>
      <w:r>
        <w:rPr>
          <w:rFonts w:hint="eastAsia" w:ascii="宋体" w:hAnsi="宋体" w:eastAsia="宋体" w:cs="仿宋"/>
          <w:b/>
          <w:sz w:val="24"/>
        </w:rPr>
        <w:t>十三、其他事项</w:t>
      </w:r>
    </w:p>
    <w:p w14:paraId="0FF3F3E5">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（一）西安市财政局政府采购管理处在合同的履行期间以及履行期后，可以随时检查项目的执行情况，对采购内容、标准进行调查核实，并对发现的问题进行处理。</w:t>
      </w:r>
    </w:p>
    <w:p w14:paraId="5F528F7B">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（二）招标文件、投标文件、澄清表（函）、中标通知书、合同附件均成为合同不可分割的部分。</w:t>
      </w:r>
    </w:p>
    <w:p w14:paraId="150366FC">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（三）合同未尽事宜，由甲、乙双方协商，经见证方确认后，签订补充协议，与原合同具有同等法律效力。</w:t>
      </w:r>
    </w:p>
    <w:p w14:paraId="23FB7B5C">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（四）合同一经签订，不得擅自变更、中止或终止合同。对确需变更、调整或中止、终止合同的，有法律规定的按照法律规定，除合同约定外，由甲乙双方再行协商，协商一致前，原合同或条款继续履行。</w:t>
      </w:r>
    </w:p>
    <w:p w14:paraId="48E7D68D">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（五）本合同按照中华人民共和国的现行法律进行解释。</w:t>
      </w:r>
    </w:p>
    <w:p w14:paraId="6DD95B00">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（六）本合同附件作为本合同的组成部分，与本合同具有同等法律效力。</w:t>
      </w:r>
    </w:p>
    <w:p w14:paraId="33803F4E">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（以下无正文）</w:t>
      </w:r>
    </w:p>
    <w:p w14:paraId="4A619F3F">
      <w:pPr>
        <w:pStyle w:val="7"/>
        <w:spacing w:line="360" w:lineRule="auto"/>
        <w:jc w:val="both"/>
        <w:rPr>
          <w:rFonts w:hint="eastAsia" w:ascii="宋体" w:hAnsi="宋体"/>
          <w:sz w:val="24"/>
        </w:rPr>
      </w:pPr>
      <w:r>
        <w:rPr>
          <w:rFonts w:hint="eastAsia" w:ascii="宋体" w:hAnsi="宋体"/>
          <w:sz w:val="24"/>
        </w:rPr>
        <w:br w:type="page"/>
      </w:r>
    </w:p>
    <w:p w14:paraId="489B0B0F">
      <w:pPr>
        <w:pStyle w:val="7"/>
        <w:spacing w:line="360" w:lineRule="auto"/>
        <w:jc w:val="both"/>
        <w:rPr>
          <w:rFonts w:hint="eastAsia" w:ascii="宋体" w:hAnsi="宋体"/>
          <w:sz w:val="24"/>
        </w:rPr>
      </w:pPr>
    </w:p>
    <w:tbl>
      <w:tblPr>
        <w:tblStyle w:val="10"/>
        <w:tblW w:w="0" w:type="auto"/>
        <w:tblInd w:w="0" w:type="dxa"/>
        <w:tblLayout w:type="autofit"/>
        <w:tblCellMar>
          <w:top w:w="0" w:type="dxa"/>
          <w:left w:w="108" w:type="dxa"/>
          <w:bottom w:w="0" w:type="dxa"/>
          <w:right w:w="108" w:type="dxa"/>
        </w:tblCellMar>
      </w:tblPr>
      <w:tblGrid>
        <w:gridCol w:w="4230"/>
        <w:gridCol w:w="4292"/>
      </w:tblGrid>
      <w:tr w14:paraId="61F2334D">
        <w:tblPrEx>
          <w:tblCellMar>
            <w:top w:w="0" w:type="dxa"/>
            <w:left w:w="108" w:type="dxa"/>
            <w:bottom w:w="0" w:type="dxa"/>
            <w:right w:w="108" w:type="dxa"/>
          </w:tblCellMar>
        </w:tblPrEx>
        <w:tc>
          <w:tcPr>
            <w:tcW w:w="4657" w:type="dxa"/>
            <w:vAlign w:val="center"/>
          </w:tcPr>
          <w:p w14:paraId="72D0BC9D">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甲  方（法人公章）</w:t>
            </w:r>
          </w:p>
        </w:tc>
        <w:tc>
          <w:tcPr>
            <w:tcW w:w="4655" w:type="dxa"/>
            <w:vAlign w:val="center"/>
          </w:tcPr>
          <w:p w14:paraId="43AD32B3">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乙  方（法人公章）</w:t>
            </w:r>
          </w:p>
        </w:tc>
      </w:tr>
      <w:tr w14:paraId="784A235D">
        <w:tblPrEx>
          <w:tblCellMar>
            <w:top w:w="0" w:type="dxa"/>
            <w:left w:w="108" w:type="dxa"/>
            <w:bottom w:w="0" w:type="dxa"/>
            <w:right w:w="108" w:type="dxa"/>
          </w:tblCellMar>
        </w:tblPrEx>
        <w:tc>
          <w:tcPr>
            <w:tcW w:w="4657" w:type="dxa"/>
            <w:vAlign w:val="center"/>
          </w:tcPr>
          <w:p w14:paraId="1E8BA52C">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单位名称：西安市疾病预防控制中心</w:t>
            </w:r>
          </w:p>
        </w:tc>
        <w:tc>
          <w:tcPr>
            <w:tcW w:w="4655" w:type="dxa"/>
            <w:vAlign w:val="center"/>
          </w:tcPr>
          <w:p w14:paraId="6BF9F519">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单位名称:xxxxxx</w:t>
            </w:r>
          </w:p>
        </w:tc>
      </w:tr>
      <w:tr w14:paraId="16C06DAC">
        <w:tblPrEx>
          <w:tblCellMar>
            <w:top w:w="0" w:type="dxa"/>
            <w:left w:w="108" w:type="dxa"/>
            <w:bottom w:w="0" w:type="dxa"/>
            <w:right w:w="108" w:type="dxa"/>
          </w:tblCellMar>
        </w:tblPrEx>
        <w:tc>
          <w:tcPr>
            <w:tcW w:w="4657" w:type="dxa"/>
            <w:vAlign w:val="center"/>
          </w:tcPr>
          <w:p w14:paraId="5DE1D66E">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地  址：西安市雁塔区西影路599号</w:t>
            </w:r>
          </w:p>
        </w:tc>
        <w:tc>
          <w:tcPr>
            <w:tcW w:w="4655" w:type="dxa"/>
            <w:vAlign w:val="center"/>
          </w:tcPr>
          <w:p w14:paraId="26B6579B">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地址：xxxx</w:t>
            </w:r>
          </w:p>
        </w:tc>
      </w:tr>
      <w:tr w14:paraId="0EDEFF94">
        <w:tblPrEx>
          <w:tblCellMar>
            <w:top w:w="0" w:type="dxa"/>
            <w:left w:w="108" w:type="dxa"/>
            <w:bottom w:w="0" w:type="dxa"/>
            <w:right w:w="108" w:type="dxa"/>
          </w:tblCellMar>
        </w:tblPrEx>
        <w:trPr>
          <w:trHeight w:val="579" w:hRule="atLeast"/>
        </w:trPr>
        <w:tc>
          <w:tcPr>
            <w:tcW w:w="4657" w:type="dxa"/>
            <w:vAlign w:val="center"/>
          </w:tcPr>
          <w:p w14:paraId="25BABF02">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法定代表人：（签字）</w:t>
            </w:r>
          </w:p>
        </w:tc>
        <w:tc>
          <w:tcPr>
            <w:tcW w:w="4655" w:type="dxa"/>
            <w:vAlign w:val="center"/>
          </w:tcPr>
          <w:p w14:paraId="47F831DE">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法定代表人或代理人：（签字）</w:t>
            </w:r>
          </w:p>
        </w:tc>
      </w:tr>
      <w:tr w14:paraId="7B0C7AA6">
        <w:tblPrEx>
          <w:tblCellMar>
            <w:top w:w="0" w:type="dxa"/>
            <w:left w:w="108" w:type="dxa"/>
            <w:bottom w:w="0" w:type="dxa"/>
            <w:right w:w="108" w:type="dxa"/>
          </w:tblCellMar>
        </w:tblPrEx>
        <w:tc>
          <w:tcPr>
            <w:tcW w:w="4657" w:type="dxa"/>
            <w:vAlign w:val="center"/>
          </w:tcPr>
          <w:p w14:paraId="3D5BAFDF">
            <w:pPr>
              <w:tabs>
                <w:tab w:val="left" w:pos="480"/>
              </w:tabs>
              <w:snapToGrid w:val="0"/>
              <w:spacing w:line="360" w:lineRule="auto"/>
              <w:rPr>
                <w:rFonts w:hint="eastAsia" w:ascii="宋体" w:hAnsi="宋体" w:eastAsia="宋体" w:cs="仿宋"/>
                <w:sz w:val="24"/>
              </w:rPr>
            </w:pPr>
          </w:p>
        </w:tc>
        <w:tc>
          <w:tcPr>
            <w:tcW w:w="4655" w:type="dxa"/>
            <w:vAlign w:val="center"/>
          </w:tcPr>
          <w:p w14:paraId="4C4DCBEE">
            <w:pPr>
              <w:tabs>
                <w:tab w:val="left" w:pos="480"/>
              </w:tabs>
              <w:snapToGrid w:val="0"/>
              <w:spacing w:line="360" w:lineRule="auto"/>
              <w:rPr>
                <w:rFonts w:hint="eastAsia" w:ascii="宋体" w:hAnsi="宋体" w:eastAsia="宋体" w:cs="仿宋"/>
                <w:sz w:val="24"/>
              </w:rPr>
            </w:pPr>
          </w:p>
          <w:p w14:paraId="321AF4A1">
            <w:pPr>
              <w:pStyle w:val="7"/>
              <w:spacing w:line="360" w:lineRule="auto"/>
              <w:jc w:val="both"/>
              <w:rPr>
                <w:rFonts w:hint="eastAsia" w:ascii="宋体" w:hAnsi="宋体"/>
                <w:sz w:val="24"/>
              </w:rPr>
            </w:pPr>
          </w:p>
          <w:p w14:paraId="4DFD364C">
            <w:pPr>
              <w:spacing w:line="360" w:lineRule="auto"/>
              <w:rPr>
                <w:rFonts w:hint="eastAsia" w:ascii="宋体" w:hAnsi="宋体" w:eastAsia="宋体" w:cs="仿宋"/>
                <w:sz w:val="24"/>
              </w:rPr>
            </w:pPr>
            <w:r>
              <w:rPr>
                <w:rFonts w:hint="eastAsia" w:ascii="宋体" w:hAnsi="宋体" w:eastAsia="宋体" w:cs="仿宋"/>
                <w:sz w:val="24"/>
              </w:rPr>
              <w:t>开户银行:xxxx</w:t>
            </w:r>
          </w:p>
        </w:tc>
      </w:tr>
      <w:tr w14:paraId="471EFA57">
        <w:tblPrEx>
          <w:tblCellMar>
            <w:top w:w="0" w:type="dxa"/>
            <w:left w:w="108" w:type="dxa"/>
            <w:bottom w:w="0" w:type="dxa"/>
            <w:right w:w="108" w:type="dxa"/>
          </w:tblCellMar>
        </w:tblPrEx>
        <w:trPr>
          <w:trHeight w:val="507" w:hRule="atLeast"/>
        </w:trPr>
        <w:tc>
          <w:tcPr>
            <w:tcW w:w="4657" w:type="dxa"/>
            <w:vAlign w:val="center"/>
          </w:tcPr>
          <w:p w14:paraId="5A695BB7">
            <w:pPr>
              <w:tabs>
                <w:tab w:val="left" w:pos="480"/>
              </w:tabs>
              <w:snapToGrid w:val="0"/>
              <w:spacing w:line="360" w:lineRule="auto"/>
              <w:rPr>
                <w:rFonts w:hint="eastAsia" w:ascii="宋体" w:hAnsi="宋体" w:eastAsia="宋体" w:cs="仿宋"/>
                <w:sz w:val="24"/>
              </w:rPr>
            </w:pPr>
          </w:p>
        </w:tc>
        <w:tc>
          <w:tcPr>
            <w:tcW w:w="4655" w:type="dxa"/>
            <w:vAlign w:val="center"/>
          </w:tcPr>
          <w:p w14:paraId="0F084F60">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帐    号：xxxxx</w:t>
            </w:r>
          </w:p>
        </w:tc>
      </w:tr>
      <w:tr w14:paraId="1EF60707">
        <w:tblPrEx>
          <w:tblCellMar>
            <w:top w:w="0" w:type="dxa"/>
            <w:left w:w="108" w:type="dxa"/>
            <w:bottom w:w="0" w:type="dxa"/>
            <w:right w:w="108" w:type="dxa"/>
          </w:tblCellMar>
        </w:tblPrEx>
        <w:trPr>
          <w:trHeight w:val="663" w:hRule="atLeast"/>
        </w:trPr>
        <w:tc>
          <w:tcPr>
            <w:tcW w:w="4657" w:type="dxa"/>
            <w:vAlign w:val="center"/>
          </w:tcPr>
          <w:p w14:paraId="28059BC3">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签订日期：     年   月  日</w:t>
            </w:r>
          </w:p>
        </w:tc>
        <w:tc>
          <w:tcPr>
            <w:tcW w:w="4655" w:type="dxa"/>
            <w:vAlign w:val="center"/>
          </w:tcPr>
          <w:p w14:paraId="7C7956BC">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签订日期：   年   月   日</w:t>
            </w:r>
          </w:p>
        </w:tc>
      </w:tr>
    </w:tbl>
    <w:p w14:paraId="19287C1A">
      <w:pPr>
        <w:pStyle w:val="7"/>
        <w:spacing w:line="360" w:lineRule="auto"/>
        <w:jc w:val="both"/>
        <w:rPr>
          <w:rFonts w:hint="eastAsia" w:ascii="宋体" w:hAnsi="宋体" w:cs="仿宋"/>
          <w:sz w:val="24"/>
        </w:rPr>
      </w:pPr>
    </w:p>
    <w:p w14:paraId="74C81F8F">
      <w:pPr>
        <w:tabs>
          <w:tab w:val="left" w:pos="480"/>
        </w:tabs>
        <w:spacing w:line="360" w:lineRule="auto"/>
        <w:rPr>
          <w:rFonts w:hint="eastAsia" w:ascii="宋体" w:hAnsi="宋体" w:eastAsia="宋体" w:cs="仿宋"/>
          <w:sz w:val="24"/>
        </w:rPr>
      </w:pPr>
      <w:r>
        <w:rPr>
          <w:rFonts w:hint="eastAsia" w:ascii="宋体" w:hAnsi="宋体" w:eastAsia="宋体" w:cs="仿宋"/>
          <w:sz w:val="24"/>
        </w:rPr>
        <w:t>鉴证方（法人公章）</w:t>
      </w:r>
    </w:p>
    <w:p w14:paraId="44A40D94">
      <w:pPr>
        <w:tabs>
          <w:tab w:val="left" w:pos="480"/>
        </w:tabs>
        <w:spacing w:line="360" w:lineRule="auto"/>
        <w:rPr>
          <w:rFonts w:hint="eastAsia" w:ascii="宋体" w:hAnsi="宋体" w:eastAsia="宋体" w:cs="仿宋"/>
          <w:sz w:val="24"/>
        </w:rPr>
      </w:pPr>
      <w:r>
        <w:rPr>
          <w:rFonts w:hint="eastAsia" w:ascii="宋体" w:hAnsi="宋体" w:eastAsia="宋体" w:cs="仿宋"/>
          <w:sz w:val="24"/>
        </w:rPr>
        <w:t>单位名称：xxxxx</w:t>
      </w:r>
    </w:p>
    <w:p w14:paraId="2971A564">
      <w:pPr>
        <w:tabs>
          <w:tab w:val="left" w:pos="480"/>
        </w:tabs>
        <w:spacing w:line="360" w:lineRule="auto"/>
        <w:rPr>
          <w:rFonts w:hint="eastAsia" w:ascii="宋体" w:hAnsi="宋体" w:eastAsia="宋体" w:cs="仿宋"/>
          <w:sz w:val="24"/>
        </w:rPr>
      </w:pPr>
      <w:r>
        <w:rPr>
          <w:rFonts w:hint="eastAsia" w:ascii="宋体" w:hAnsi="宋体" w:eastAsia="宋体" w:cs="仿宋"/>
          <w:sz w:val="24"/>
        </w:rPr>
        <w:t>代 理 人：             （签字）</w:t>
      </w:r>
    </w:p>
    <w:p w14:paraId="068ACA1F">
      <w:pPr>
        <w:pStyle w:val="6"/>
        <w:spacing w:line="360" w:lineRule="auto"/>
        <w:rPr>
          <w:rFonts w:hint="eastAsia" w:hAnsi="宋体" w:eastAsia="宋体" w:cs="仿宋"/>
          <w:sz w:val="24"/>
          <w:szCs w:val="24"/>
        </w:rPr>
      </w:pPr>
      <w:r>
        <w:rPr>
          <w:rFonts w:hint="eastAsia" w:hAnsi="宋体" w:eastAsia="宋体" w:cs="仿宋"/>
          <w:sz w:val="24"/>
          <w:szCs w:val="24"/>
        </w:rPr>
        <w:t>签订日期：     年   月   日</w:t>
      </w:r>
      <w:bookmarkEnd w:id="0"/>
    </w:p>
    <w:p w14:paraId="7470948D">
      <w:pPr>
        <w:rPr>
          <w:sz w:val="24"/>
          <w:lang w:eastAsia="zh-Hans"/>
        </w:rPr>
      </w:pPr>
      <w:r>
        <w:rPr>
          <w:sz w:val="24"/>
        </w:rPr>
        <w:br w:type="textWrapping"/>
      </w:r>
    </w:p>
    <w:p w14:paraId="42265111"/>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31798F">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E50DDD">
                          <w:pPr>
                            <w:pStyle w:val="7"/>
                          </w:pPr>
                          <w:r>
                            <w:t xml:space="preserve">第 </w:t>
                          </w:r>
                          <w:r>
                            <w:fldChar w:fldCharType="begin"/>
                          </w:r>
                          <w:r>
                            <w:instrText xml:space="preserve"> PAGE  \* MERGEFORMAT </w:instrText>
                          </w:r>
                          <w:r>
                            <w:fldChar w:fldCharType="separate"/>
                          </w:r>
                          <w:r>
                            <w:t>11</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76E50DDD">
                    <w:pPr>
                      <w:pStyle w:val="7"/>
                    </w:pPr>
                    <w:r>
                      <w:t xml:space="preserve">第 </w:t>
                    </w:r>
                    <w:r>
                      <w:fldChar w:fldCharType="begin"/>
                    </w:r>
                    <w:r>
                      <w:instrText xml:space="preserve"> PAGE  \* MERGEFORMAT </w:instrText>
                    </w:r>
                    <w:r>
                      <w:fldChar w:fldCharType="separate"/>
                    </w:r>
                    <w:r>
                      <w:t>11</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zNjJjYjdlZjcxMjc4ODU1ZjU3ZmNkYzA3N2NjNmIifQ=="/>
  </w:docVars>
  <w:rsids>
    <w:rsidRoot w:val="000D339A"/>
    <w:rsid w:val="000140C4"/>
    <w:rsid w:val="0001538E"/>
    <w:rsid w:val="00033516"/>
    <w:rsid w:val="00044E73"/>
    <w:rsid w:val="000576BF"/>
    <w:rsid w:val="000670F1"/>
    <w:rsid w:val="00080C65"/>
    <w:rsid w:val="000A694C"/>
    <w:rsid w:val="000D0B47"/>
    <w:rsid w:val="000D339A"/>
    <w:rsid w:val="000D4A8D"/>
    <w:rsid w:val="00133933"/>
    <w:rsid w:val="00144513"/>
    <w:rsid w:val="00161381"/>
    <w:rsid w:val="001948BB"/>
    <w:rsid w:val="001C2331"/>
    <w:rsid w:val="001F729F"/>
    <w:rsid w:val="00216947"/>
    <w:rsid w:val="00217AEA"/>
    <w:rsid w:val="002271F6"/>
    <w:rsid w:val="0024391D"/>
    <w:rsid w:val="00295562"/>
    <w:rsid w:val="002A1E4D"/>
    <w:rsid w:val="002A217D"/>
    <w:rsid w:val="002A5855"/>
    <w:rsid w:val="002C0772"/>
    <w:rsid w:val="002D2FDB"/>
    <w:rsid w:val="002D685F"/>
    <w:rsid w:val="002F427A"/>
    <w:rsid w:val="00302ECD"/>
    <w:rsid w:val="003205A6"/>
    <w:rsid w:val="003209F7"/>
    <w:rsid w:val="003340C6"/>
    <w:rsid w:val="00351777"/>
    <w:rsid w:val="00354578"/>
    <w:rsid w:val="0037495B"/>
    <w:rsid w:val="003E1940"/>
    <w:rsid w:val="004148D4"/>
    <w:rsid w:val="00417106"/>
    <w:rsid w:val="0046593C"/>
    <w:rsid w:val="004A7651"/>
    <w:rsid w:val="004C601B"/>
    <w:rsid w:val="004F3D26"/>
    <w:rsid w:val="0054476A"/>
    <w:rsid w:val="005736B0"/>
    <w:rsid w:val="005B14E2"/>
    <w:rsid w:val="005F03B2"/>
    <w:rsid w:val="0061177C"/>
    <w:rsid w:val="00625131"/>
    <w:rsid w:val="006508FA"/>
    <w:rsid w:val="0067144C"/>
    <w:rsid w:val="006959D4"/>
    <w:rsid w:val="006A3320"/>
    <w:rsid w:val="006A50C7"/>
    <w:rsid w:val="006B6B35"/>
    <w:rsid w:val="00780320"/>
    <w:rsid w:val="007C6D03"/>
    <w:rsid w:val="007D7C04"/>
    <w:rsid w:val="007E3643"/>
    <w:rsid w:val="007E7306"/>
    <w:rsid w:val="008460B1"/>
    <w:rsid w:val="00851225"/>
    <w:rsid w:val="00861A0C"/>
    <w:rsid w:val="00862F4C"/>
    <w:rsid w:val="0086561C"/>
    <w:rsid w:val="00886FF8"/>
    <w:rsid w:val="009001B6"/>
    <w:rsid w:val="00905D20"/>
    <w:rsid w:val="009157DC"/>
    <w:rsid w:val="0093068C"/>
    <w:rsid w:val="00932F48"/>
    <w:rsid w:val="0094320B"/>
    <w:rsid w:val="009453FC"/>
    <w:rsid w:val="0099093B"/>
    <w:rsid w:val="009B253F"/>
    <w:rsid w:val="009B53B6"/>
    <w:rsid w:val="00A72B55"/>
    <w:rsid w:val="00A74A84"/>
    <w:rsid w:val="00AE4720"/>
    <w:rsid w:val="00B32013"/>
    <w:rsid w:val="00B42DB0"/>
    <w:rsid w:val="00B54321"/>
    <w:rsid w:val="00B57C64"/>
    <w:rsid w:val="00B63EA2"/>
    <w:rsid w:val="00B97C45"/>
    <w:rsid w:val="00BA0225"/>
    <w:rsid w:val="00BC1703"/>
    <w:rsid w:val="00BE4234"/>
    <w:rsid w:val="00BE6540"/>
    <w:rsid w:val="00C06770"/>
    <w:rsid w:val="00C27710"/>
    <w:rsid w:val="00C31EC8"/>
    <w:rsid w:val="00D21765"/>
    <w:rsid w:val="00D373F7"/>
    <w:rsid w:val="00D77118"/>
    <w:rsid w:val="00D9641A"/>
    <w:rsid w:val="00DE57B2"/>
    <w:rsid w:val="00E14D05"/>
    <w:rsid w:val="00E7117F"/>
    <w:rsid w:val="00E86743"/>
    <w:rsid w:val="00E86A79"/>
    <w:rsid w:val="00EA0DD7"/>
    <w:rsid w:val="00ED0750"/>
    <w:rsid w:val="00F219FE"/>
    <w:rsid w:val="00F408E0"/>
    <w:rsid w:val="00F572DB"/>
    <w:rsid w:val="00F9700F"/>
    <w:rsid w:val="00FB7839"/>
    <w:rsid w:val="00FD1F18"/>
    <w:rsid w:val="00FE646F"/>
    <w:rsid w:val="00FF0320"/>
    <w:rsid w:val="014D28C9"/>
    <w:rsid w:val="01C622FC"/>
    <w:rsid w:val="02A4476B"/>
    <w:rsid w:val="04F95F00"/>
    <w:rsid w:val="09EA33AB"/>
    <w:rsid w:val="0A6F565E"/>
    <w:rsid w:val="120945EA"/>
    <w:rsid w:val="157004D3"/>
    <w:rsid w:val="15D335B9"/>
    <w:rsid w:val="18A62B93"/>
    <w:rsid w:val="18B92634"/>
    <w:rsid w:val="1A27484D"/>
    <w:rsid w:val="1CC161ED"/>
    <w:rsid w:val="217A2E0F"/>
    <w:rsid w:val="21FE57EE"/>
    <w:rsid w:val="248D2E59"/>
    <w:rsid w:val="28285372"/>
    <w:rsid w:val="2879797C"/>
    <w:rsid w:val="292D30E8"/>
    <w:rsid w:val="29464D9B"/>
    <w:rsid w:val="29746395"/>
    <w:rsid w:val="2D3C33FD"/>
    <w:rsid w:val="2F665C5F"/>
    <w:rsid w:val="308137A2"/>
    <w:rsid w:val="31903F88"/>
    <w:rsid w:val="33E64529"/>
    <w:rsid w:val="367D7F0E"/>
    <w:rsid w:val="39096AFA"/>
    <w:rsid w:val="3C145CE9"/>
    <w:rsid w:val="3F1C2352"/>
    <w:rsid w:val="417C1E33"/>
    <w:rsid w:val="418331C2"/>
    <w:rsid w:val="41E3786C"/>
    <w:rsid w:val="42450447"/>
    <w:rsid w:val="43D929C8"/>
    <w:rsid w:val="452C57DA"/>
    <w:rsid w:val="465E7BAC"/>
    <w:rsid w:val="4820176A"/>
    <w:rsid w:val="4B577B99"/>
    <w:rsid w:val="4E1A4D68"/>
    <w:rsid w:val="53DD0E57"/>
    <w:rsid w:val="59B60181"/>
    <w:rsid w:val="60D809DC"/>
    <w:rsid w:val="613029F8"/>
    <w:rsid w:val="61377DF9"/>
    <w:rsid w:val="62EC076F"/>
    <w:rsid w:val="657131AE"/>
    <w:rsid w:val="68802085"/>
    <w:rsid w:val="6AD77F57"/>
    <w:rsid w:val="6B5425AA"/>
    <w:rsid w:val="6F9F7FC4"/>
    <w:rsid w:val="70C26581"/>
    <w:rsid w:val="71535E5D"/>
    <w:rsid w:val="724063E2"/>
    <w:rsid w:val="730613D9"/>
    <w:rsid w:val="74C32577"/>
    <w:rsid w:val="77B834D7"/>
    <w:rsid w:val="781933E9"/>
    <w:rsid w:val="791505C8"/>
    <w:rsid w:val="7A435623"/>
    <w:rsid w:val="7B9E20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14"/>
    <w:qFormat/>
    <w:uiPriority w:val="0"/>
    <w:rPr>
      <w:rFonts w:ascii="宋体"/>
      <w:sz w:val="18"/>
      <w:szCs w:val="18"/>
    </w:rPr>
  </w:style>
  <w:style w:type="paragraph" w:styleId="4">
    <w:name w:val="Body Text"/>
    <w:basedOn w:val="1"/>
    <w:next w:val="1"/>
    <w:qFormat/>
    <w:uiPriority w:val="0"/>
    <w:pPr>
      <w:spacing w:after="120" w:line="360" w:lineRule="auto"/>
    </w:pPr>
    <w:rPr>
      <w:rFonts w:asciiTheme="minorHAnsi" w:hAnsiTheme="minorHAnsi" w:eastAsiaTheme="minorEastAsia" w:cstheme="minorBidi"/>
    </w:rPr>
  </w:style>
  <w:style w:type="paragraph" w:styleId="5">
    <w:name w:val="Body Text Indent"/>
    <w:basedOn w:val="1"/>
    <w:qFormat/>
    <w:uiPriority w:val="0"/>
    <w:pPr>
      <w:spacing w:after="120" w:afterLines="0" w:afterAutospacing="0"/>
      <w:ind w:left="420" w:leftChars="200"/>
    </w:pPr>
  </w:style>
  <w:style w:type="paragraph" w:styleId="6">
    <w:name w:val="Plain Text"/>
    <w:basedOn w:val="1"/>
    <w:qFormat/>
    <w:uiPriority w:val="99"/>
    <w:rPr>
      <w:rFonts w:ascii="宋体" w:hAnsi="Courier New"/>
      <w:szCs w:val="21"/>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2"/>
    <w:basedOn w:val="5"/>
    <w:qFormat/>
    <w:uiPriority w:val="0"/>
    <w:pPr>
      <w:ind w:firstLine="420" w:firstLineChars="200"/>
    </w:pPr>
  </w:style>
  <w:style w:type="paragraph" w:customStyle="1" w:styleId="12">
    <w:name w:val="null3"/>
    <w:autoRedefine/>
    <w:hidden/>
    <w:qFormat/>
    <w:uiPriority w:val="0"/>
    <w:pPr>
      <w:adjustRightInd w:val="0"/>
      <w:snapToGrid w:val="0"/>
      <w:spacing w:line="360" w:lineRule="auto"/>
      <w:jc w:val="center"/>
    </w:pPr>
    <w:rPr>
      <w:rFonts w:asciiTheme="minorEastAsia" w:hAnsiTheme="minorEastAsia" w:eastAsiaTheme="minorEastAsia" w:cstheme="minorEastAsia"/>
      <w:bCs/>
      <w:sz w:val="24"/>
      <w:szCs w:val="24"/>
      <w:lang w:val="en-US" w:eastAsia="zh-CN" w:bidi="ar-SA"/>
    </w:rPr>
  </w:style>
  <w:style w:type="paragraph" w:customStyle="1" w:styleId="13">
    <w:name w:val="正文缩进1"/>
    <w:basedOn w:val="1"/>
    <w:autoRedefine/>
    <w:qFormat/>
    <w:uiPriority w:val="0"/>
    <w:pPr>
      <w:spacing w:line="360" w:lineRule="auto"/>
      <w:outlineLvl w:val="0"/>
    </w:pPr>
  </w:style>
  <w:style w:type="character" w:customStyle="1" w:styleId="14">
    <w:name w:val="文档结构图 Char"/>
    <w:basedOn w:val="11"/>
    <w:link w:val="3"/>
    <w:qFormat/>
    <w:uiPriority w:val="0"/>
    <w:rPr>
      <w:rFonts w:ascii="宋体" w:hAnsi="Times New Roman" w:eastAsia="宋体" w:cs="Times New Roman"/>
      <w:color w:val="000000"/>
      <w:sz w:val="18"/>
      <w:szCs w:val="18"/>
    </w:rPr>
  </w:style>
  <w:style w:type="character" w:customStyle="1" w:styleId="15">
    <w:name w:val="页眉 Char"/>
    <w:basedOn w:val="11"/>
    <w:link w:val="8"/>
    <w:qFormat/>
    <w:uiPriority w:val="0"/>
    <w:rPr>
      <w:rFonts w:ascii="Times New Roman" w:hAnsi="Times New Roman" w:eastAsia="宋体" w:cs="Times New Roman"/>
      <w:color w:val="000000"/>
      <w:sz w:val="18"/>
      <w:szCs w:val="18"/>
    </w:rPr>
  </w:style>
  <w:style w:type="character" w:customStyle="1" w:styleId="16">
    <w:name w:val="页脚 Char"/>
    <w:basedOn w:val="11"/>
    <w:link w:val="7"/>
    <w:qFormat/>
    <w:uiPriority w:val="0"/>
    <w:rPr>
      <w:rFonts w:ascii="Times New Roman" w:hAnsi="Times New Roman" w:eastAsia="宋体" w:cs="Times New Roman"/>
      <w:color w:val="00000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4655</Words>
  <Characters>4669</Characters>
  <Lines>55</Lines>
  <Paragraphs>15</Paragraphs>
  <TotalTime>0</TotalTime>
  <ScaleCrop>false</ScaleCrop>
  <LinksUpToDate>false</LinksUpToDate>
  <CharactersWithSpaces>5501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2024-07-25T07:16:00Z</dcterms:created>
  <dc:creator>Lenovo</dc:creator>
  <cp:lastModifiedBy>H</cp:lastModifiedBy>
  <dcterms:modified xsi:type="dcterms:W3CDTF">2025-08-08T09:07:32Z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2AE5ADCD164F4374919643DDF8258F43_13</vt:lpwstr>
  </property>
  <property fmtid="{D5CDD505-2E9C-101B-9397-08002B2CF9AE}" pid="4" name="KSOTemplateDocerSaveRecord">
    <vt:lpwstr>eyJoZGlkIjoiNWVlZWQ2MGQxNmE1ODQyMmRiYjA3Yzk4MTMyMWVjOGQiLCJ1c2VySWQiOiI1MjUwOTc0MjQifQ==</vt:lpwstr>
  </property>
</Properties>
</file>