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版本号：PM招2024-0171820250911001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西南二环立交交通优化工程环境监理项目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PM招2024-01718</w:t>
      </w:r>
      <w:r>
        <w:br/>
      </w:r>
      <w:r>
        <w:br/>
      </w:r>
      <w:r>
        <w:br/>
      </w:r>
    </w:p>
    <w:p>
      <w:pPr>
        <w:pStyle w:val="null3"/>
        <w:jc w:val="center"/>
        <w:outlineLvl w:val="2"/>
      </w:pPr>
      <w:r>
        <w:rPr>
          <w:rFonts w:ascii="仿宋_GB2312" w:hAnsi="仿宋_GB2312" w:cs="仿宋_GB2312" w:eastAsia="仿宋_GB2312"/>
          <w:sz w:val="28"/>
          <w:b/>
        </w:rPr>
        <w:t>西安市住房和城乡建设局（本级）</w:t>
      </w:r>
    </w:p>
    <w:p>
      <w:pPr>
        <w:pStyle w:val="null3"/>
        <w:jc w:val="center"/>
        <w:outlineLvl w:val="2"/>
      </w:pPr>
      <w:r>
        <w:rPr>
          <w:rFonts w:ascii="仿宋_GB2312" w:hAnsi="仿宋_GB2312" w:cs="仿宋_GB2312" w:eastAsia="仿宋_GB2312"/>
          <w:sz w:val="28"/>
          <w:b/>
        </w:rPr>
        <w:t>普迈项目管理集团有限公司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普迈项目管理集团有限公司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西安市住房和城乡建设局（本级）</w:t>
      </w:r>
      <w:r>
        <w:rPr>
          <w:rFonts w:ascii="仿宋_GB2312" w:hAnsi="仿宋_GB2312" w:cs="仿宋_GB2312" w:eastAsia="仿宋_GB2312"/>
        </w:rPr>
        <w:t>委托，拟对</w:t>
      </w:r>
      <w:r>
        <w:rPr>
          <w:rFonts w:ascii="仿宋_GB2312" w:hAnsi="仿宋_GB2312" w:cs="仿宋_GB2312" w:eastAsia="仿宋_GB2312"/>
        </w:rPr>
        <w:t>西南二环立交交通优化工程环境监理项目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PM招2024-01718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西南二环立交交通优化工程环境监理项目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西南二环立交交通优化工程环境监理项目，1项，具体内容详见采购文件第三章。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pPr>
      <w:r>
        <w:rPr>
          <w:rFonts w:ascii="仿宋_GB2312" w:hAnsi="仿宋_GB2312" w:cs="仿宋_GB2312" w:eastAsia="仿宋_GB2312"/>
        </w:rPr>
        <w:t>8、投标人不得存在下列情形之一：单位负责人为同一人或者存在直接控股、管理关系的不同供应商不得参加同一合同项下的政府采购活动；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西安市住房和城乡建设局（本级）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西安市雁塔南路300-9号A座西安建设大厦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西安市住房和城乡建设局（本级）经办金一哲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89831059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普迈项目管理集团有限公司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陕西省西安市雁塔区太白南路139号荣禾云图中心11幢4层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杨蕊、付越豪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18710719971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成交供应商应依据成交金额向采购代理机构交纳成交服务费，交费金额参照国家计委颁布的《招标代理服务收费管理暂行办法》（计价格[2002]1980号）及发改办价格[2003]857号文件的规定标准下浮10%执行。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西安市住房和城乡建设局（本级）</w:t>
      </w:r>
      <w:r>
        <w:rPr>
          <w:rFonts w:ascii="仿宋_GB2312" w:hAnsi="仿宋_GB2312" w:cs="仿宋_GB2312" w:eastAsia="仿宋_GB2312"/>
        </w:rPr>
        <w:t>和</w:t>
      </w:r>
      <w:r>
        <w:rPr>
          <w:rFonts w:ascii="仿宋_GB2312" w:hAnsi="仿宋_GB2312" w:cs="仿宋_GB2312" w:eastAsia="仿宋_GB2312"/>
        </w:rPr>
        <w:t>普迈项目管理集团有限公司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西安市住房和城乡建设局（本级）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普迈项目管理集团有限公司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西安市住房和城乡建设局（本级）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普迈项目管理集团有限公司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要求：符合国家相关现行行业规范标准要求及采购人需求。2、进行现场调查，控制项目施工过程中产生的扬尘、噪声、废水等对周边环境造成的不良影响；协助项目落实环评报告以及批复要求的环保措施，编制《环境保护监理实施方案》、《环境保护监理实施细则》，《环境监理季报》，《环境保护监理总结报告》，协助项目通过竣工环境保护验收等工作。</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联系人：杨蕊、付越豪</w:t>
      </w:r>
    </w:p>
    <w:p>
      <w:pPr>
        <w:pStyle w:val="null3"/>
      </w:pPr>
      <w:r>
        <w:rPr>
          <w:rFonts w:ascii="仿宋_GB2312" w:hAnsi="仿宋_GB2312" w:cs="仿宋_GB2312" w:eastAsia="仿宋_GB2312"/>
        </w:rPr>
        <w:t>联系电话：18710719971</w:t>
      </w:r>
    </w:p>
    <w:p>
      <w:pPr>
        <w:pStyle w:val="null3"/>
      </w:pPr>
      <w:r>
        <w:rPr>
          <w:rFonts w:ascii="仿宋_GB2312" w:hAnsi="仿宋_GB2312" w:cs="仿宋_GB2312" w:eastAsia="仿宋_GB2312"/>
        </w:rPr>
        <w:t>地址：陕西省西安市雁塔区太白南路139号荣禾云图中心11幢4层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南二环立交交通优化工程环境监理项目，1项，该项目包括:进行现场调查，控制项目施工过程中产生的扬尘、噪声、废水等对周边环境造成的不良影响；协助项目落实环评报告以及批复要求的环保措施，编制《环境保护监理实施方案》、《环境保护监理实施细则》，《环境监理季报》，《环境保护监理总结报告》，协助项目通过竣工环境保护验收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西南二环立交交通优化工程环境监理项目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标的名称：西南二环立交交通优化工程环境监理项目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工程概况</w:t>
            </w:r>
          </w:p>
          <w:p>
            <w:pPr>
              <w:pStyle w:val="null3"/>
              <w:ind w:firstLine="480"/>
              <w:jc w:val="both"/>
            </w:pPr>
            <w:r>
              <w:rPr>
                <w:rFonts w:ascii="仿宋_GB2312" w:hAnsi="仿宋_GB2312" w:cs="仿宋_GB2312" w:eastAsia="仿宋_GB2312"/>
                <w:sz w:val="20"/>
                <w:shd w:fill="FFFFFF" w:val="clear"/>
              </w:rPr>
              <w:t>西南二环立交交通优化工程：</w:t>
            </w:r>
            <w:r>
              <w:rPr>
                <w:rFonts w:ascii="仿宋_GB2312" w:hAnsi="仿宋_GB2312" w:cs="仿宋_GB2312" w:eastAsia="仿宋_GB2312"/>
                <w:sz w:val="20"/>
              </w:rPr>
              <w:t>项目南起南二环与桃园南路交叉口，北至西二环与大庆路交叉口，工程全长</w:t>
            </w:r>
            <w:r>
              <w:rPr>
                <w:rFonts w:ascii="仿宋_GB2312" w:hAnsi="仿宋_GB2312" w:cs="仿宋_GB2312" w:eastAsia="仿宋_GB2312"/>
                <w:sz w:val="20"/>
              </w:rPr>
              <w:t>3.49Km，共包括两个区域五项内容：1.西南二环立交部分，具体内容为：（1）南二环两段主线落地段改造为高架桥，与现状高架衔接；（2）补齐昆明路—西二环左转匝道桥、唐延路—西二环直行匝道桥、西二环—沣惠南路直行匝道桥、西二环—昆明路右转匝道桥，共计4 条；2.西二环（昆明路-大庆路）段提升改造部分，具体内容为：（1）西二环主线桥（昆明路-丰镐西路）段由现状双向四车道提升至双向六车道加两侧集散车道，丰镐西路以北主线落地段两侧新建上下平行匝道；（2）对西二环下桥匝道的衔接道路进行优化提升；（3）对工程范围内的地面交通组织进行优化。利用桥下空间贯通丰登南路群贤路南北向交通，并对丰镐西路、大庆路片区地面交通进行梳理。</w:t>
            </w:r>
          </w:p>
          <w:p>
            <w:pPr>
              <w:pStyle w:val="null3"/>
              <w:ind w:firstLine="440"/>
              <w:jc w:val="both"/>
            </w:pPr>
            <w:r>
              <w:rPr>
                <w:rFonts w:ascii="仿宋_GB2312" w:hAnsi="仿宋_GB2312" w:cs="仿宋_GB2312" w:eastAsia="仿宋_GB2312"/>
                <w:sz w:val="20"/>
              </w:rPr>
              <w:t>项目地点：项目南起南二环与桃园南路交叉口，北至西二环与大庆路交叉口。</w:t>
            </w:r>
          </w:p>
          <w:p>
            <w:pPr>
              <w:pStyle w:val="null3"/>
              <w:jc w:val="both"/>
            </w:pPr>
            <w:r>
              <w:rPr>
                <w:rFonts w:ascii="仿宋_GB2312" w:hAnsi="仿宋_GB2312" w:cs="仿宋_GB2312" w:eastAsia="仿宋_GB2312"/>
                <w:sz w:val="20"/>
                <w:b/>
              </w:rPr>
              <w:t>二、采购内容</w:t>
            </w:r>
          </w:p>
          <w:p>
            <w:pPr>
              <w:pStyle w:val="null3"/>
              <w:ind w:firstLine="440"/>
              <w:jc w:val="both"/>
            </w:pPr>
            <w:r>
              <w:rPr>
                <w:rFonts w:ascii="仿宋_GB2312" w:hAnsi="仿宋_GB2312" w:cs="仿宋_GB2312" w:eastAsia="仿宋_GB2312"/>
                <w:sz w:val="20"/>
              </w:rPr>
              <w:t>1、项目名称：</w:t>
            </w:r>
            <w:r>
              <w:rPr>
                <w:rFonts w:ascii="仿宋_GB2312" w:hAnsi="仿宋_GB2312" w:cs="仿宋_GB2312" w:eastAsia="仿宋_GB2312"/>
                <w:sz w:val="20"/>
                <w:shd w:fill="FFFFFF" w:val="clear"/>
              </w:rPr>
              <w:t>西南二环立交交通优化工程环境监理项目</w:t>
            </w:r>
          </w:p>
          <w:p>
            <w:pPr>
              <w:pStyle w:val="null3"/>
              <w:ind w:firstLine="440"/>
              <w:jc w:val="both"/>
            </w:pPr>
            <w:r>
              <w:rPr>
                <w:rFonts w:ascii="仿宋_GB2312" w:hAnsi="仿宋_GB2312" w:cs="仿宋_GB2312" w:eastAsia="仿宋_GB2312"/>
                <w:sz w:val="20"/>
              </w:rPr>
              <w:t>2、采购需求：</w:t>
            </w:r>
            <w:r>
              <w:rPr>
                <w:rFonts w:ascii="仿宋_GB2312" w:hAnsi="仿宋_GB2312" w:cs="仿宋_GB2312" w:eastAsia="仿宋_GB2312"/>
                <w:sz w:val="20"/>
              </w:rPr>
              <w:t>进行</w:t>
            </w:r>
            <w:r>
              <w:rPr>
                <w:rFonts w:ascii="仿宋_GB2312" w:hAnsi="仿宋_GB2312" w:cs="仿宋_GB2312" w:eastAsia="仿宋_GB2312"/>
                <w:sz w:val="20"/>
              </w:rPr>
              <w:t>现场调查，控制项目施工过程中产生的扬尘、噪声、废水等对周边环境造成的不良影响；协助项目落实环评报告以及批复要求的环保措施，编制《环境保护监理实施方案》、《环境保护监理实施细则》，《环境监理季报》，《环境保护监理总结报告》，协助项目通过竣工环境保护验收等工作。</w:t>
            </w:r>
          </w:p>
          <w:p>
            <w:pPr>
              <w:pStyle w:val="null3"/>
              <w:ind w:firstLine="440"/>
              <w:jc w:val="both"/>
            </w:pPr>
            <w:r>
              <w:rPr>
                <w:rFonts w:ascii="仿宋_GB2312" w:hAnsi="仿宋_GB2312" w:cs="仿宋_GB2312" w:eastAsia="仿宋_GB2312"/>
                <w:sz w:val="20"/>
              </w:rPr>
              <w:t>3、服务期限：合同签订之日起至该工程环保竣工验收合格止。如遇不可抗拒因素，时限可相应顺延。</w:t>
            </w:r>
          </w:p>
          <w:p>
            <w:pPr>
              <w:pStyle w:val="null3"/>
              <w:ind w:firstLine="440"/>
              <w:jc w:val="both"/>
            </w:pPr>
            <w:r>
              <w:rPr>
                <w:rFonts w:ascii="仿宋_GB2312" w:hAnsi="仿宋_GB2312" w:cs="仿宋_GB2312" w:eastAsia="仿宋_GB2312"/>
                <w:sz w:val="20"/>
              </w:rPr>
              <w:t>4、采购预算：280000.00元，最高限价：280000.00</w:t>
            </w:r>
            <w:r>
              <w:rPr>
                <w:rFonts w:ascii="仿宋_GB2312" w:hAnsi="仿宋_GB2312" w:cs="仿宋_GB2312" w:eastAsia="仿宋_GB2312"/>
                <w:sz w:val="20"/>
                <w:shd w:fill="FFFFFF" w:val="clear"/>
              </w:rPr>
              <w:t>元。</w:t>
            </w:r>
          </w:p>
          <w:p>
            <w:pPr>
              <w:pStyle w:val="null3"/>
              <w:ind w:firstLine="440"/>
              <w:jc w:val="both"/>
            </w:pPr>
            <w:r>
              <w:rPr>
                <w:rFonts w:ascii="仿宋_GB2312" w:hAnsi="仿宋_GB2312" w:cs="仿宋_GB2312" w:eastAsia="仿宋_GB2312"/>
                <w:sz w:val="20"/>
                <w:shd w:fill="FFFFFF" w:val="clear"/>
              </w:rPr>
              <w:t>5</w:t>
            </w:r>
            <w:r>
              <w:rPr>
                <w:rFonts w:ascii="仿宋_GB2312" w:hAnsi="仿宋_GB2312" w:cs="仿宋_GB2312" w:eastAsia="仿宋_GB2312"/>
                <w:sz w:val="20"/>
                <w:shd w:fill="FFFFFF" w:val="clear"/>
              </w:rPr>
              <w:t>、结算单位：采购人结算，具体以合同结算为准。</w:t>
            </w:r>
          </w:p>
          <w:p>
            <w:pPr>
              <w:pStyle w:val="null3"/>
              <w:ind w:firstLine="440"/>
              <w:jc w:val="both"/>
            </w:pPr>
            <w:r>
              <w:rPr>
                <w:rFonts w:ascii="仿宋_GB2312" w:hAnsi="仿宋_GB2312" w:cs="仿宋_GB2312" w:eastAsia="仿宋_GB2312"/>
                <w:sz w:val="20"/>
                <w:shd w:fill="FFFFFF" w:val="clear"/>
              </w:rPr>
              <w:t>付款方式</w:t>
            </w:r>
            <w:r>
              <w:rPr>
                <w:rFonts w:ascii="仿宋_GB2312" w:hAnsi="仿宋_GB2312" w:cs="仿宋_GB2312" w:eastAsia="仿宋_GB2312"/>
                <w:sz w:val="20"/>
              </w:rPr>
              <w:t>：以合同约定为准。</w:t>
            </w:r>
          </w:p>
          <w:p>
            <w:pPr>
              <w:pStyle w:val="null3"/>
              <w:jc w:val="both"/>
            </w:pPr>
            <w:r>
              <w:rPr>
                <w:rFonts w:ascii="仿宋_GB2312" w:hAnsi="仿宋_GB2312" w:cs="仿宋_GB2312" w:eastAsia="仿宋_GB2312"/>
                <w:sz w:val="20"/>
                <w:b/>
              </w:rPr>
              <w:t>三、服务内容及要求</w:t>
            </w:r>
          </w:p>
          <w:p>
            <w:pPr>
              <w:pStyle w:val="null3"/>
              <w:ind w:firstLine="400"/>
              <w:jc w:val="both"/>
            </w:pPr>
            <w:r>
              <w:rPr>
                <w:rFonts w:ascii="仿宋_GB2312" w:hAnsi="仿宋_GB2312" w:cs="仿宋_GB2312" w:eastAsia="仿宋_GB2312"/>
                <w:sz w:val="20"/>
              </w:rPr>
              <w:t>1、服务于内容</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环境监理机构，依据环境保护有关法律法规、技术标准规范和建设项目环境影响评价文件及批复文件等</w:t>
            </w:r>
            <w:r>
              <w:rPr>
                <w:rFonts w:ascii="仿宋_GB2312" w:hAnsi="仿宋_GB2312" w:cs="仿宋_GB2312" w:eastAsia="仿宋_GB2312"/>
                <w:sz w:val="20"/>
              </w:rPr>
              <w:t>,对项目建设期间环境保护工作提供全过程跟踪指导和监督管理等技术服务，引导建设项目落实环境保护措施和要求。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2环境监理机构，应立即组建环境监理项目部，配备环境监理人员、交通工具、仪器和设备等，按照《建设项目环境监理规范》的规定，编制建设项目环境监理实施方案。</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3建设项目环境监理工作完成后，提交符合要求的建设项目环境监理报告</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*2、技术要求：</w:t>
            </w:r>
          </w:p>
          <w:p>
            <w:pPr>
              <w:pStyle w:val="null3"/>
              <w:ind w:firstLine="400"/>
              <w:jc w:val="both"/>
            </w:pPr>
            <w:r>
              <w:rPr>
                <w:rFonts w:ascii="仿宋_GB2312" w:hAnsi="仿宋_GB2312" w:cs="仿宋_GB2312" w:eastAsia="仿宋_GB2312"/>
                <w:sz w:val="20"/>
              </w:rPr>
              <w:t>2.1必须满足的技术要求：</w:t>
            </w:r>
          </w:p>
          <w:p>
            <w:pPr>
              <w:pStyle w:val="null3"/>
            </w:pPr>
            <w:r>
              <w:rPr>
                <w:rFonts w:ascii="仿宋_GB2312" w:hAnsi="仿宋_GB2312" w:cs="仿宋_GB2312" w:eastAsia="仿宋_GB2312"/>
                <w:sz w:val="20"/>
              </w:rPr>
              <w:t>（</w:t>
            </w:r>
            <w:r>
              <w:rPr>
                <w:rFonts w:ascii="仿宋_GB2312" w:hAnsi="仿宋_GB2312" w:cs="仿宋_GB2312" w:eastAsia="仿宋_GB2312"/>
                <w:sz w:val="20"/>
              </w:rPr>
              <w:t>1）质量要求：符合国家相关</w:t>
            </w:r>
            <w:r>
              <w:rPr>
                <w:rFonts w:ascii="仿宋_GB2312" w:hAnsi="仿宋_GB2312" w:cs="仿宋_GB2312" w:eastAsia="仿宋_GB2312"/>
                <w:sz w:val="20"/>
              </w:rPr>
              <w:t>现行</w:t>
            </w:r>
            <w:r>
              <w:rPr>
                <w:rFonts w:ascii="仿宋_GB2312" w:hAnsi="仿宋_GB2312" w:cs="仿宋_GB2312" w:eastAsia="仿宋_GB2312"/>
                <w:sz w:val="20"/>
              </w:rPr>
              <w:t>行业规范标准要求及采购人需求。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2）技术标准：</w:t>
            </w:r>
          </w:p>
          <w:p>
            <w:pPr>
              <w:pStyle w:val="null3"/>
              <w:ind w:firstLine="400"/>
              <w:jc w:val="both"/>
            </w:pPr>
            <w:r>
              <w:rPr>
                <w:rFonts w:ascii="仿宋_GB2312" w:hAnsi="仿宋_GB2312" w:cs="仿宋_GB2312" w:eastAsia="仿宋_GB2312"/>
                <w:sz w:val="20"/>
              </w:rPr>
              <w:t>1）《建设项目环境保护管理条例（2017年7月）》</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环境保护部《建设项目环境保护事中事后监督管理办法（</w:t>
            </w:r>
            <w:r>
              <w:rPr>
                <w:rFonts w:ascii="仿宋_GB2312" w:hAnsi="仿宋_GB2312" w:cs="仿宋_GB2312" w:eastAsia="仿宋_GB2312"/>
                <w:sz w:val="20"/>
              </w:rPr>
              <w:t>2015年12月）（环发〔2015〕163号）》</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）国家、省、市发布其他</w:t>
            </w:r>
            <w:r>
              <w:rPr>
                <w:rFonts w:ascii="仿宋_GB2312" w:hAnsi="仿宋_GB2312" w:cs="仿宋_GB2312" w:eastAsia="仿宋_GB2312"/>
                <w:sz w:val="20"/>
              </w:rPr>
              <w:t>现行</w:t>
            </w:r>
            <w:r>
              <w:rPr>
                <w:rFonts w:ascii="仿宋_GB2312" w:hAnsi="仿宋_GB2312" w:cs="仿宋_GB2312" w:eastAsia="仿宋_GB2312"/>
                <w:sz w:val="20"/>
              </w:rPr>
              <w:t>相关法律法规等文件。</w:t>
            </w:r>
          </w:p>
          <w:p>
            <w:pPr>
              <w:pStyle w:val="null3"/>
              <w:ind w:firstLine="400"/>
            </w:pPr>
            <w:r>
              <w:rPr>
                <w:rFonts w:ascii="仿宋_GB2312" w:hAnsi="仿宋_GB2312" w:cs="仿宋_GB2312" w:eastAsia="仿宋_GB2312"/>
                <w:sz w:val="20"/>
              </w:rPr>
              <w:t>4）</w:t>
            </w:r>
            <w:r>
              <w:rPr>
                <w:rFonts w:ascii="仿宋_GB2312" w:hAnsi="仿宋_GB2312" w:cs="仿宋_GB2312" w:eastAsia="仿宋_GB2312"/>
                <w:sz w:val="20"/>
              </w:rPr>
              <w:t>验收标准</w:t>
            </w:r>
          </w:p>
          <w:p>
            <w:pPr>
              <w:pStyle w:val="null3"/>
              <w:jc w:val="both"/>
            </w:pPr>
            <w:r>
              <w:rPr>
                <w:rFonts w:ascii="仿宋_GB2312" w:hAnsi="仿宋_GB2312" w:cs="仿宋_GB2312" w:eastAsia="仿宋_GB2312"/>
                <w:sz w:val="20"/>
              </w:rPr>
              <w:t>符合国家《建设项目竣工环境保护验收暂行办法》（国环规环评〔</w:t>
            </w:r>
            <w:r>
              <w:rPr>
                <w:rFonts w:ascii="仿宋_GB2312" w:hAnsi="仿宋_GB2312" w:cs="仿宋_GB2312" w:eastAsia="仿宋_GB2312"/>
                <w:sz w:val="20"/>
              </w:rPr>
              <w:t>2017〕4号）、《建设项目竣工环境保护验收技术规范公路》（HJ 552－2010）</w:t>
            </w:r>
            <w:r>
              <w:rPr>
                <w:rFonts w:ascii="仿宋_GB2312" w:hAnsi="仿宋_GB2312" w:cs="仿宋_GB2312" w:eastAsia="仿宋_GB2312"/>
                <w:sz w:val="20"/>
              </w:rPr>
              <w:t>等相关</w:t>
            </w:r>
            <w:r>
              <w:rPr>
                <w:rFonts w:ascii="仿宋_GB2312" w:hAnsi="仿宋_GB2312" w:cs="仿宋_GB2312" w:eastAsia="仿宋_GB2312"/>
                <w:sz w:val="20"/>
              </w:rPr>
              <w:t>各项环境质量标准。</w:t>
            </w:r>
          </w:p>
          <w:p>
            <w:pPr>
              <w:pStyle w:val="null3"/>
              <w:ind w:firstLine="400"/>
              <w:jc w:val="both"/>
            </w:pPr>
            <w:r>
              <w:rPr>
                <w:rFonts w:ascii="仿宋_GB2312" w:hAnsi="仿宋_GB2312" w:cs="仿宋_GB2312" w:eastAsia="仿宋_GB2312"/>
                <w:sz w:val="20"/>
              </w:rPr>
              <w:t>*3.商务要求</w:t>
            </w:r>
          </w:p>
          <w:p>
            <w:pPr>
              <w:pStyle w:val="null3"/>
              <w:ind w:firstLine="400"/>
              <w:jc w:val="both"/>
            </w:pPr>
            <w:r>
              <w:rPr>
                <w:rFonts w:ascii="仿宋_GB2312" w:hAnsi="仿宋_GB2312" w:cs="仿宋_GB2312" w:eastAsia="仿宋_GB2312"/>
                <w:sz w:val="20"/>
              </w:rPr>
              <w:t>3.1 须满足的商务要求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1）投标报价总价未超过规定的采购预算价或总价最高限价，分项报价未超过分项报价最高限价；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2）服务期限：</w:t>
            </w:r>
            <w:r>
              <w:rPr>
                <w:rFonts w:ascii="仿宋_GB2312" w:hAnsi="仿宋_GB2312" w:cs="仿宋_GB2312" w:eastAsia="仿宋_GB2312"/>
                <w:sz w:val="20"/>
              </w:rPr>
              <w:t>合同签订之日起至该工程环保竣工验收合格止。如遇不可抗拒因素，时限可相应顺延。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3）对合同中规定的付款方式及双方的权利和义务是否做出了实质性响应；</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4）投标有效期符合招标文件要求。</w:t>
            </w:r>
          </w:p>
          <w:p>
            <w:pPr>
              <w:pStyle w:val="null3"/>
              <w:ind w:firstLine="400"/>
              <w:jc w:val="both"/>
            </w:pPr>
            <w:r>
              <w:rPr>
                <w:rFonts w:ascii="仿宋_GB2312" w:hAnsi="仿宋_GB2312" w:cs="仿宋_GB2312" w:eastAsia="仿宋_GB2312"/>
                <w:sz w:val="20"/>
              </w:rPr>
              <w:t>3.2 合同专用条款和通用条款的全部内容。</w:t>
            </w:r>
          </w:p>
          <w:p>
            <w:pPr>
              <w:pStyle w:val="null3"/>
              <w:jc w:val="both"/>
            </w:pPr>
            <w:r>
              <w:rPr>
                <w:rFonts w:ascii="仿宋_GB2312" w:hAnsi="仿宋_GB2312" w:cs="仿宋_GB2312" w:eastAsia="仿宋_GB2312"/>
                <w:sz w:val="20"/>
              </w:rPr>
              <w:t>注：</w:t>
            </w:r>
            <w:r>
              <w:rPr>
                <w:rFonts w:ascii="仿宋_GB2312" w:hAnsi="仿宋_GB2312" w:cs="仿宋_GB2312" w:eastAsia="仿宋_GB2312"/>
                <w:sz w:val="20"/>
              </w:rPr>
              <w:t>“*”号标记的条款为技术和商务的实质性要求和条件，若偏离则为无效投标。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服务方按项目服务要求及特性，自行组织项目实施与管理，建立以项目负责人为核心的服务团队，实行项目负责人责任制，相关人员经过严格培训，能够胜任项目工作，保证项目顺利实施。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服务方根据项目特性，自行配置投入有利于完成本项目服务各类设施设备（包含但不限于专业设备、辅助设备、工具、软件等）。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合同签订之日起至该工程环保竣工验收合格止。如遇不可抗拒因素，时限可相应顺延。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环境监理报告编制完成通过后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本项目环境保护验收通过后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2、纸质响应文件正本、副本、电子版，标明供应商名称分开密封递交（响应文件采用双面打印）。3、若电子响应文件与纸质响应文件不一致的，以陕西省政府采购网平台递交电子响应文件为准。4、线下纸质文件递交截止时间：同在线递交电子响应文件截止时间一致；线下纸质文件递交地点：陕西省西安市碑林区红缨路1号天金大厦10楼。如需邮寄响应文件，仅接受顺丰速运（联系人：李工、联系电话：18192653503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投标人不得存在下列情形之一</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服务内容及服务邀请应答表 残疾人福利性单位声明函 中小企业声明函 商务应答表 标的清单 供应商资格证明文件. 服务方案说明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响应文件封面 服务内容及服务邀请应答表 残疾人福利性单位声明函 中小企业声明函 商务应答表 标的清单 供应商资格证明文件. 响应函 服务方案说明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供应商资格证明文件.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监理大纲</w:t>
            </w:r>
          </w:p>
        </w:tc>
        <w:tc>
          <w:tcPr>
            <w:tcW w:type="dxa" w:w="2492"/>
          </w:tcPr>
          <w:p>
            <w:pPr>
              <w:pStyle w:val="null3"/>
            </w:pPr>
            <w:r>
              <w:rPr>
                <w:rFonts w:ascii="仿宋_GB2312" w:hAnsi="仿宋_GB2312" w:cs="仿宋_GB2312" w:eastAsia="仿宋_GB2312"/>
              </w:rPr>
              <w:t>1、对供应商提供的监理大纲及服务方案进行评审，包括①监理程序及工作制度、②监理工作目标及监理依据、③质量控制管理措施、④安全文明施工监督管理措施、⑤进度控制管理措施、⑥计量与支付控制管理措施、⑦合同及信息方面协调管理措施、⑧施工现场各方关系协调管理措施、⑨旁站计划及措施、⑩保修阶段的服务管理措施。 每小项满分4分，内容存在以下缺陷的，每项扣1 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 未提供不得分。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1、项目负责人具有有效陕西省建设项目环境监理培训证书得2分； 2、项目负责人具有环境相关专业高级职称证书得2分，环境相关专业中级职称证书得1分，其他不得分。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监理部组织机构及人员配备</w:t>
            </w:r>
          </w:p>
        </w:tc>
        <w:tc>
          <w:tcPr>
            <w:tcW w:type="dxa" w:w="2492"/>
          </w:tcPr>
          <w:p>
            <w:pPr>
              <w:pStyle w:val="null3"/>
            </w:pPr>
            <w:r>
              <w:rPr>
                <w:rFonts w:ascii="仿宋_GB2312" w:hAnsi="仿宋_GB2312" w:cs="仿宋_GB2312" w:eastAsia="仿宋_GB2312"/>
              </w:rPr>
              <w:t>1.监理部机构设置合理、拟投入本项目人员数量充足、专业人员配置齐全、针对性强、人员分工、岗位职责明确、能够满足采购人项目需求的，证明材料提供齐全、详细的计4-6分； 2.监理部机构设置基本合理、拟投入本项目人员数量充足，专业人员配备能够基本满足项目实施需要，分工、岗位职责安排有一定的合理性，基本能满足项目需求的，证明材料提供齐全、详细的计2-4分； 3.监理部机构设置基本合理、拟投入本项目人员数量基本充足，专业人员配备数量基本充足、专业人员配备基本能够满足项目实施需要，分工、岗位职责安排基本合理的，证明材料提供不齐全的，计1-2分； 4.监理部机构设置不合理、拟投入本项目人员数量不充足，专业人员配备数量较少，专业人员配备不齐全的，未提供相关证明材料的计0-1分； 相关人员配置在满足采购人要求的基础上严重不足的不得分。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监理检测设备配置</w:t>
            </w:r>
          </w:p>
        </w:tc>
        <w:tc>
          <w:tcPr>
            <w:tcW w:type="dxa" w:w="2492"/>
          </w:tcPr>
          <w:p>
            <w:pPr>
              <w:pStyle w:val="null3"/>
            </w:pPr>
            <w:r>
              <w:rPr>
                <w:rFonts w:ascii="仿宋_GB2312" w:hAnsi="仿宋_GB2312" w:cs="仿宋_GB2312" w:eastAsia="仿宋_GB2312"/>
              </w:rPr>
              <w:t>1.检测设备配置齐全，完全满足监理检测要求的，计4-6分； 2.检测设备配置较齐全，较能满足监理检测要求的，计2-4分； 3.检测设备配置一般，基本能满足监理检测要求的，计1-2分； 4.检测设备配置不齐全，不能满足监理检测要求的，计0-1分。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对本项目环境保护全过程技术服务的特点、关键性技术问题的认识及其对策措施</w:t>
            </w:r>
          </w:p>
        </w:tc>
        <w:tc>
          <w:tcPr>
            <w:tcW w:type="dxa" w:w="2492"/>
          </w:tcPr>
          <w:p>
            <w:pPr>
              <w:pStyle w:val="null3"/>
            </w:pPr>
            <w:r>
              <w:rPr>
                <w:rFonts w:ascii="仿宋_GB2312" w:hAnsi="仿宋_GB2312" w:cs="仿宋_GB2312" w:eastAsia="仿宋_GB2312"/>
              </w:rPr>
              <w:t>1.环境保护全过程技术服务的特点、关键性技术问题的认识分析全面，合理，并且提出切实可行的解决办法的，计4-6分； 2.环境保护全过程技术服务的特点、关键性技术问题的认识分析较全面，合理，对于重难点的解决办法较为合理可行的，计2-4分； 3.环境保护全过程技术服务的特点、关键性技术问题的认识分析一般，对于重难点的解决办法可行性一般的，计1-2分； 4.环境保护全过程技术服务的特点、关键性技术问题的认识分析不全面，不合理，对于重难点的解决办法不可行的，计0-1分；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对本项目的理解和总体评估思路</w:t>
            </w:r>
          </w:p>
        </w:tc>
        <w:tc>
          <w:tcPr>
            <w:tcW w:type="dxa" w:w="2492"/>
          </w:tcPr>
          <w:p>
            <w:pPr>
              <w:pStyle w:val="null3"/>
            </w:pPr>
            <w:r>
              <w:rPr>
                <w:rFonts w:ascii="仿宋_GB2312" w:hAnsi="仿宋_GB2312" w:cs="仿宋_GB2312" w:eastAsia="仿宋_GB2312"/>
              </w:rPr>
              <w:t>1.对本项目背景、目标、任务有非常全面深入的了解，总体评估思路合理，计4-6分；2.对本项目背景、目标、任务有较全面的了解，总体评估思路较合理，计2-4分；3.对本项目背景、目标、任务有基本全面的了解，总体评估思路基本合理，计1-2分；4.对本项目背景、目标、任务有不全面深入的了解，总体评估思路不合理，计0-1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1.承诺全面且从多个角度明确地做出承诺，合理可行且完全能满足采购人对项目需求的，计4-6分； 2.承诺基本全面且承诺内容基本可行的，计2-4分；3.承诺基本全面但实施有难度的，计1-2分；4.承诺不全面且实施难度大的，计0-1分；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建议全面且从多个角度考虑，合理可行且对项目实施具有较强的指导作用的计4-6分；2.建议基本全面且建议内容基本可行的，计2-4分；3.建议基本全面但实施有难度的，计1-2分；4.建议不全面且实施难度大的，计0-1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供应商自2020年1月1日至今（以合同签订时间为准）具有类似环境监理业绩。每提供一项得2分，满分10分。 注：以中标通知书或合同签订日期并加盖公章为准。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详见附件：建设项目环境监理合同.docx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