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版本号：2025-HXCT-09720250912001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全国知识产权保护中心预审管理平台</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2025-HXCT-097</w:t>
      </w:r>
      <w:r>
        <w:br/>
      </w:r>
      <w:r>
        <w:br/>
      </w:r>
      <w:r>
        <w:br/>
      </w:r>
    </w:p>
    <w:p>
      <w:pPr>
        <w:pStyle w:val="null3"/>
        <w:jc w:val="center"/>
        <w:outlineLvl w:val="5"/>
      </w:pPr>
      <w:r>
        <w:rPr>
          <w:rFonts w:ascii="仿宋_GB2312" w:hAnsi="仿宋_GB2312" w:cs="仿宋_GB2312" w:eastAsia="仿宋_GB2312"/>
          <w:sz w:val="15"/>
          <w:b/>
        </w:rPr>
        <w:t>西安市知识产权保护中心</w:t>
      </w:r>
    </w:p>
    <w:p>
      <w:pPr>
        <w:pStyle w:val="null3"/>
        <w:jc w:val="center"/>
        <w:outlineLvl w:val="5"/>
      </w:pPr>
      <w:r>
        <w:rPr>
          <w:rFonts w:ascii="仿宋_GB2312" w:hAnsi="仿宋_GB2312" w:cs="仿宋_GB2312" w:eastAsia="仿宋_GB2312"/>
          <w:sz w:val="15"/>
          <w:b/>
        </w:rPr>
        <w:t>华夏城投项目管理有限公司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西安市知识产权保护中心</w:t>
      </w:r>
      <w:r>
        <w:rPr>
          <w:rFonts w:ascii="仿宋_GB2312" w:hAnsi="仿宋_GB2312" w:cs="仿宋_GB2312" w:eastAsia="仿宋_GB2312"/>
        </w:rPr>
        <w:t>委托，拟对</w:t>
      </w:r>
      <w:r>
        <w:rPr>
          <w:rFonts w:ascii="仿宋_GB2312" w:hAnsi="仿宋_GB2312" w:cs="仿宋_GB2312" w:eastAsia="仿宋_GB2312"/>
        </w:rPr>
        <w:t>全国知识产权保护中心预审管理平台</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2025-HXCT-097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全国知识产权保护中心预审管理平台</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全国知识产权保护中心预审管理平台</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采购包1（全国知识产权保护中心预审管理平台）：属于专门面向中小企业采购。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响应文件格式）；</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西安市凤城八路西北国金中心B座23层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西安市知识产权保护中心经办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15699150292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15877521968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华夏城投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西安市知识产权保护中心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符合国家法律法规规定的标准、单一来源采购文件和单一来源响应文件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采购内容和要求：全国知识产权保护中心预审管理平台采购项目,本次采购内容为1个标段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全国知识产权保护中心预审管理平台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标的名称：全国知识产权保护中心预审管理平台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预审管理平台服务内容</w:t>
            </w:r>
          </w:p>
          <w:p>
            <w:pPr>
              <w:pStyle w:val="null3"/>
            </w:pPr>
            <w:r>
              <w:rPr>
                <w:rFonts w:ascii="仿宋_GB2312" w:hAnsi="仿宋_GB2312" w:cs="仿宋_GB2312" w:eastAsia="仿宋_GB2312"/>
                <w:sz w:val="21"/>
              </w:rPr>
              <w:t xml:space="preserve">     预审管理平台是集注册备案、预审申请、预审审查、预审管理于一体的全国知识产权保护中心管 理平台，具有全流程、智能化、可定制、云服务、大数据的特点；其业务涵盖专利申请快速预审、专 利复审无效快速预审、专利权评价报告快速处理预审，可实现全流程电子化等功能。为了解决保护中 心预审业务的信息孤岛问题，预审管理平台已经对接局包括非正常专利申请主体数据、法律状态数据 、中国及多国专利审查信息查询系统数据等多个数据资源，实现了预审案件的全流程数据的跟踪。 作为线上线下深度融合协同发展的“一站式”综合服务平台，保护中心预审管理平台将更好地为用 户提供便捷高效优质服务，促进创新成果的权利化、商业化和产业化，为各地产业发展和创新实力提 供强有力支撑。</w:t>
            </w:r>
          </w:p>
          <w:p>
            <w:pPr>
              <w:pStyle w:val="null3"/>
              <w:ind w:firstLine="562"/>
            </w:pPr>
            <w:r>
              <w:rPr>
                <w:rFonts w:ascii="仿宋_GB2312" w:hAnsi="仿宋_GB2312" w:cs="仿宋_GB2312" w:eastAsia="仿宋_GB2312"/>
                <w:sz w:val="21"/>
                <w:b/>
              </w:rPr>
              <w:t>1.</w:t>
            </w:r>
            <w:r>
              <w:rPr>
                <w:rFonts w:ascii="仿宋_GB2312" w:hAnsi="仿宋_GB2312" w:cs="仿宋_GB2312" w:eastAsia="仿宋_GB2312"/>
                <w:sz w:val="21"/>
                <w:b/>
              </w:rPr>
              <w:t>基础功能</w:t>
            </w:r>
            <w:r>
              <w:rPr>
                <w:rFonts w:ascii="仿宋_GB2312" w:hAnsi="仿宋_GB2312" w:cs="仿宋_GB2312" w:eastAsia="仿宋_GB2312"/>
                <w:sz w:val="21"/>
                <w:b/>
              </w:rPr>
              <w:t>：</w:t>
            </w:r>
          </w:p>
          <w:p>
            <w:pPr>
              <w:pStyle w:val="null3"/>
              <w:ind w:firstLine="560"/>
            </w:pPr>
            <w:r>
              <w:rPr>
                <w:rFonts w:ascii="仿宋_GB2312" w:hAnsi="仿宋_GB2312" w:cs="仿宋_GB2312" w:eastAsia="仿宋_GB2312"/>
                <w:sz w:val="21"/>
              </w:rPr>
              <w:t>预审管理平台是集注册备案、预审申请、预审审查、预审管理于一体的全国知识产权保护中心管理平台</w:t>
            </w:r>
            <w:r>
              <w:rPr>
                <w:rFonts w:ascii="仿宋_GB2312" w:hAnsi="仿宋_GB2312" w:cs="仿宋_GB2312" w:eastAsia="仿宋_GB2312"/>
                <w:sz w:val="21"/>
              </w:rPr>
              <w:t>。</w:t>
            </w:r>
          </w:p>
          <w:p>
            <w:pPr>
              <w:pStyle w:val="null3"/>
              <w:ind w:firstLine="562"/>
            </w:pPr>
            <w:r>
              <w:rPr>
                <w:rFonts w:ascii="仿宋_GB2312" w:hAnsi="仿宋_GB2312" w:cs="仿宋_GB2312" w:eastAsia="仿宋_GB2312"/>
                <w:sz w:val="21"/>
                <w:b/>
              </w:rPr>
              <w:t>2.主体信用管理功能：</w:t>
            </w:r>
          </w:p>
          <w:p>
            <w:pPr>
              <w:pStyle w:val="null3"/>
              <w:ind w:firstLine="560"/>
              <w:jc w:val="both"/>
            </w:pPr>
            <w:r>
              <w:rPr>
                <w:rFonts w:ascii="仿宋_GB2312" w:hAnsi="仿宋_GB2312" w:cs="仿宋_GB2312" w:eastAsia="仿宋_GB2312"/>
                <w:sz w:val="21"/>
              </w:rPr>
              <w:t>信用管理功能模块融合信用中国、非正常主体及预审审查数据，支撑保护中心对申请主体进行分级分类管理，并将分级与预审业务管控措施相结合，构建信用导向的预审申请环境；功能支持对申请主体</w:t>
            </w:r>
            <w:r>
              <w:rPr>
                <w:rFonts w:ascii="仿宋_GB2312" w:hAnsi="仿宋_GB2312" w:cs="仿宋_GB2312" w:eastAsia="仿宋_GB2312"/>
                <w:sz w:val="21"/>
              </w:rPr>
              <w:t>/代理机构</w:t>
            </w:r>
            <w:r>
              <w:rPr>
                <w:rFonts w:ascii="仿宋_GB2312" w:hAnsi="仿宋_GB2312" w:cs="仿宋_GB2312" w:eastAsia="仿宋_GB2312"/>
                <w:sz w:val="21"/>
              </w:rPr>
              <w:t>的批量管控、对管控信息的审查提醒</w:t>
            </w:r>
            <w:r>
              <w:rPr>
                <w:rFonts w:ascii="仿宋_GB2312" w:hAnsi="仿宋_GB2312" w:cs="仿宋_GB2312" w:eastAsia="仿宋_GB2312"/>
                <w:sz w:val="21"/>
              </w:rPr>
              <w:t>，以及</w:t>
            </w:r>
            <w:r>
              <w:rPr>
                <w:rFonts w:ascii="仿宋_GB2312" w:hAnsi="仿宋_GB2312" w:cs="仿宋_GB2312" w:eastAsia="仿宋_GB2312"/>
                <w:sz w:val="21"/>
              </w:rPr>
              <w:t>对主体信用的文书发送等。</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意识形态检测</w:t>
            </w:r>
            <w:r>
              <w:rPr>
                <w:rFonts w:ascii="仿宋_GB2312" w:hAnsi="仿宋_GB2312" w:cs="仿宋_GB2312" w:eastAsia="仿宋_GB2312"/>
                <w:sz w:val="21"/>
                <w:b/>
              </w:rPr>
              <w:t>功能：</w:t>
            </w:r>
          </w:p>
          <w:p>
            <w:pPr>
              <w:pStyle w:val="null3"/>
              <w:ind w:firstLine="560"/>
              <w:jc w:val="both"/>
            </w:pPr>
            <w:r>
              <w:rPr>
                <w:rFonts w:ascii="仿宋_GB2312" w:hAnsi="仿宋_GB2312" w:cs="仿宋_GB2312" w:eastAsia="仿宋_GB2312"/>
                <w:sz w:val="21"/>
              </w:rPr>
              <w:t>意识形态问题对于预审审查结果具有一票否决权，对申请文件中的意识形态敏感信息进行排查是预审审查重要工作之一。本功能通过信息化手段对专利申请文件进行意识形态敏感信息监测，并在预审系统审查页面展示监测结果。</w:t>
            </w:r>
          </w:p>
          <w:p>
            <w:pPr>
              <w:pStyle w:val="null3"/>
            </w:pPr>
            <w:r>
              <w:rPr>
                <w:rFonts w:ascii="仿宋_GB2312" w:hAnsi="仿宋_GB2312" w:cs="仿宋_GB2312" w:eastAsia="仿宋_GB2312"/>
                <w:sz w:val="21"/>
                <w:b/>
              </w:rPr>
              <w:t>4.预审运营与主体专利数据查询功能：</w:t>
            </w:r>
          </w:p>
          <w:p>
            <w:pPr>
              <w:pStyle w:val="null3"/>
              <w:ind w:firstLine="560"/>
              <w:jc w:val="both"/>
            </w:pPr>
            <w:r>
              <w:rPr>
                <w:rFonts w:ascii="仿宋_GB2312" w:hAnsi="仿宋_GB2312" w:cs="仿宋_GB2312" w:eastAsia="仿宋_GB2312"/>
                <w:sz w:val="21"/>
              </w:rPr>
              <w:t>将专利公开数据与预审业务融合，展示主体专利情况以及预审案件的专利运营情况。</w:t>
            </w:r>
            <w:r>
              <w:rPr>
                <w:rFonts w:ascii="仿宋_GB2312" w:hAnsi="仿宋_GB2312" w:cs="仿宋_GB2312" w:eastAsia="仿宋_GB2312"/>
                <w:sz w:val="21"/>
              </w:rPr>
              <w:t>实现预审专利法律状态数据的实时获取、筛选、展示，并对异常转让行为进行统计，以及对主体已公开专利数据和已提交预审申请数据进行统计。</w:t>
            </w:r>
          </w:p>
          <w:p>
            <w:pPr>
              <w:pStyle w:val="null3"/>
              <w:ind w:firstLine="560"/>
              <w:jc w:val="both"/>
            </w:pPr>
            <w:r>
              <w:rPr>
                <w:rFonts w:ascii="仿宋_GB2312" w:hAnsi="仿宋_GB2312" w:cs="仿宋_GB2312" w:eastAsia="仿宋_GB2312"/>
                <w:sz w:val="21"/>
                <w:b/>
              </w:rPr>
              <w:t>5.备案企事业单位信息上报导出功能：</w:t>
            </w:r>
          </w:p>
          <w:p>
            <w:pPr>
              <w:pStyle w:val="null3"/>
              <w:ind w:firstLine="560"/>
              <w:jc w:val="both"/>
            </w:pPr>
            <w:r>
              <w:rPr>
                <w:rFonts w:ascii="仿宋_GB2312" w:hAnsi="仿宋_GB2312" w:cs="仿宋_GB2312" w:eastAsia="仿宋_GB2312"/>
                <w:sz w:val="21"/>
              </w:rPr>
              <w:t>依据国家知识产权局要求</w:t>
            </w:r>
            <w:r>
              <w:rPr>
                <w:rFonts w:ascii="仿宋_GB2312" w:hAnsi="仿宋_GB2312" w:cs="仿宋_GB2312" w:eastAsia="仿宋_GB2312"/>
                <w:sz w:val="21"/>
              </w:rPr>
              <w:t>“备案企事业单位和专利预审2（备案企事业单位）”两张表的维度，深度整合备案企事业单位的工商数据、荣誉资质数据与预审数据资源，实现备案企事业单位信息的完整归集、准确校验及可视化呈现，确保生成的备案企事业单位信息上报功能全面覆盖国家知识产权局相关数据需求，同时支持信息导出，满足后续数据存档、分析及协同工作需求。</w:t>
            </w:r>
          </w:p>
          <w:p>
            <w:pPr>
              <w:pStyle w:val="null3"/>
              <w:jc w:val="left"/>
            </w:pPr>
            <w:r>
              <w:rPr>
                <w:rFonts w:ascii="仿宋_GB2312" w:hAnsi="仿宋_GB2312" w:cs="仿宋_GB2312" w:eastAsia="仿宋_GB2312"/>
                <w:sz w:val="21"/>
                <w:b/>
              </w:rPr>
              <w:t>6.分级分类管理功能：</w:t>
            </w:r>
          </w:p>
          <w:p>
            <w:pPr>
              <w:pStyle w:val="null3"/>
              <w:ind w:firstLine="560"/>
              <w:jc w:val="left"/>
            </w:pPr>
            <w:r>
              <w:rPr>
                <w:rFonts w:ascii="仿宋_GB2312" w:hAnsi="仿宋_GB2312" w:cs="仿宋_GB2312" w:eastAsia="仿宋_GB2312"/>
                <w:sz w:val="21"/>
              </w:rPr>
              <w:t>备案主体和代理机构分级分类管理功能，旨在提升精准服务、优化资源配置，</w:t>
            </w:r>
            <w:r>
              <w:rPr>
                <w:rFonts w:ascii="仿宋_GB2312" w:hAnsi="仿宋_GB2312" w:cs="仿宋_GB2312" w:eastAsia="仿宋_GB2312"/>
                <w:sz w:val="21"/>
              </w:rPr>
              <w:t>支撑保护中心开展备案主体</w:t>
            </w:r>
            <w:r>
              <w:rPr>
                <w:rFonts w:ascii="仿宋_GB2312" w:hAnsi="仿宋_GB2312" w:cs="仿宋_GB2312" w:eastAsia="仿宋_GB2312"/>
                <w:sz w:val="21"/>
              </w:rPr>
              <w:t>/代理机构分级分类工作</w:t>
            </w:r>
            <w:r>
              <w:rPr>
                <w:rFonts w:ascii="仿宋_GB2312" w:hAnsi="仿宋_GB2312" w:cs="仿宋_GB2312" w:eastAsia="仿宋_GB2312"/>
                <w:sz w:val="21"/>
              </w:rPr>
              <w:t>，</w:t>
            </w:r>
            <w:r>
              <w:rPr>
                <w:rFonts w:ascii="仿宋_GB2312" w:hAnsi="仿宋_GB2312" w:cs="仿宋_GB2312" w:eastAsia="仿宋_GB2312"/>
                <w:sz w:val="21"/>
              </w:rPr>
              <w:t>提供相关评定指标的数据支撑、评定指标的人工核算，以及评定结果的预审系统展示、查询和应用，形成</w:t>
            </w:r>
            <w:r>
              <w:rPr>
                <w:rFonts w:ascii="仿宋_GB2312" w:hAnsi="仿宋_GB2312" w:cs="仿宋_GB2312" w:eastAsia="仿宋_GB2312"/>
                <w:sz w:val="21"/>
              </w:rPr>
              <w:t>“数据+服务+系统”的组合服务模式。实现保护中心根据备案主体、代理机构的预审情况、资质情况、项目承接、信息报送等多个维度进行级别分类动态管理，提升管理效能，推进信用评价管理工作。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根据项目情况，自行配备设施。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西安市知识产权保护中心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合同签订后10个工作日内一次性支付全款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1.根据文件中服务内容及要求进行,若成交供应商在合同期内有违约行为，采购人可以提前 终止合同。 2.验收依据 2.1合同文本; 2.2单一来源采购响应文件、单一来源采购文件、澄清函; 2.3国家和行业制定的相应的 标准和规范。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 不能满足技术要求，采购人有权终止合同，并对供方违约行为进行追究，同时按《政府采购法》的有关规定进行处罚。 解决 争议的方法: 因执行本合同所发生的或与本合同有关的一切争议,双方应通过友好协商解决。如果协商开始后六十（60）天还 不能解决，双方可依以下一种方式解决： 本合同在履行过程中发生的争议，由甲、乙双方当事人协商解决，协商不成的提交 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1、成交人在领取成交通知书时提供一正两副纸质单一来源采购响应文件。 装订：纸质单一来源采购响应文件采用书籍（胶装）方式装订成册，与电子版文件一致的签字、盖章的完整版本。 2、本项目采购标的对应的中小企业划分标准所属行业为（软件和信息技术服务业）。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本项目专门面向中小企业采购；须符合《政府采购促进中小企业发展管理办法》（财库〔2020〕46号）规定的中小企业参加；（提供《中小企业声明函》，式样见响应文件格式）</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单一来源采购响应文件按照单一来源采购文件的要求盖章签字</w:t>
            </w:r>
          </w:p>
        </w:tc>
        <w:tc>
          <w:tcPr>
            <w:tcW w:type="dxa" w:w="3322"/>
          </w:tcPr>
          <w:p>
            <w:pPr>
              <w:pStyle w:val="null3"/>
            </w:pPr>
            <w:r>
              <w:rPr>
                <w:rFonts w:ascii="仿宋_GB2312" w:hAnsi="仿宋_GB2312" w:cs="仿宋_GB2312" w:eastAsia="仿宋_GB2312"/>
              </w:rPr>
              <w:t>单一来源采购响应文件是否按照单一来源采购文件的要求盖章签字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协商报价不得超过采购预算</w:t>
            </w:r>
          </w:p>
        </w:tc>
        <w:tc>
          <w:tcPr>
            <w:tcW w:type="dxa" w:w="3322"/>
          </w:tcPr>
          <w:p>
            <w:pPr>
              <w:pStyle w:val="null3"/>
            </w:pPr>
            <w:r>
              <w:rPr>
                <w:rFonts w:ascii="仿宋_GB2312" w:hAnsi="仿宋_GB2312" w:cs="仿宋_GB2312" w:eastAsia="仿宋_GB2312"/>
              </w:rPr>
              <w:t>协商报价是否超过采购预算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对单一来源采购文件服务内容和要求作出明确响应，对不得偏离的要求作出实质性响应</w:t>
            </w:r>
          </w:p>
        </w:tc>
        <w:tc>
          <w:tcPr>
            <w:tcW w:type="dxa" w:w="3322"/>
          </w:tcPr>
          <w:p>
            <w:pPr>
              <w:pStyle w:val="null3"/>
            </w:pPr>
            <w:r>
              <w:rPr>
                <w:rFonts w:ascii="仿宋_GB2312" w:hAnsi="仿宋_GB2312" w:cs="仿宋_GB2312" w:eastAsia="仿宋_GB2312"/>
              </w:rPr>
              <w:t>对单一来源采购文件服务内容和要求是否作出明确响应，对不得偏离的要求是否作出了实质性响应</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