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3E118">
      <w:pPr>
        <w:pStyle w:val="9"/>
        <w:jc w:val="center"/>
        <w:outlineLvl w:val="1"/>
        <w:rPr>
          <w:color w:val="auto"/>
        </w:rPr>
      </w:pPr>
      <w:r>
        <w:rPr>
          <w:rFonts w:ascii="仿宋_GB2312" w:hAnsi="仿宋_GB2312" w:eastAsia="仿宋_GB2312" w:cs="仿宋_GB2312"/>
          <w:b/>
          <w:color w:val="auto"/>
          <w:sz w:val="36"/>
        </w:rPr>
        <w:t>第七章 拟签订合同文本</w:t>
      </w:r>
    </w:p>
    <w:p w14:paraId="4CF6D118">
      <w:pPr>
        <w:rPr>
          <w:rFonts w:hint="eastAsia" w:ascii="黑体" w:eastAsia="宋体"/>
          <w:b/>
          <w:color w:val="auto"/>
          <w:sz w:val="32"/>
          <w:szCs w:val="32"/>
          <w:lang w:val="en-US" w:eastAsia="zh-CN"/>
        </w:rPr>
      </w:pPr>
      <w:r>
        <w:rPr>
          <w:rFonts w:hint="eastAsia" w:ascii="黑体" w:eastAsia="黑体"/>
          <w:b/>
          <w:color w:val="auto"/>
          <w:sz w:val="32"/>
          <w:szCs w:val="32"/>
        </w:rPr>
        <w:t xml:space="preserve">政府采购项目                         </w:t>
      </w:r>
      <w:r>
        <w:rPr>
          <w:rFonts w:hint="eastAsia" w:ascii="宋体" w:hAnsi="宋体" w:cs="宋体"/>
          <w:b/>
          <w:color w:val="auto"/>
          <w:sz w:val="32"/>
          <w:szCs w:val="32"/>
          <w:bdr w:val="single" w:color="auto" w:sz="4" w:space="0"/>
          <w:lang w:val="en-US" w:eastAsia="zh-CN"/>
        </w:rPr>
        <w:t>公开招标</w:t>
      </w:r>
    </w:p>
    <w:p w14:paraId="0628D053">
      <w:pPr>
        <w:ind w:firstLine="542" w:firstLineChars="100"/>
        <w:rPr>
          <w:rFonts w:hint="eastAsia" w:eastAsia="黑体"/>
          <w:b/>
          <w:color w:val="auto"/>
          <w:spacing w:val="-20"/>
          <w:sz w:val="58"/>
          <w:szCs w:val="58"/>
        </w:rPr>
      </w:pPr>
    </w:p>
    <w:p w14:paraId="325D865D">
      <w:pPr>
        <w:ind w:firstLine="0" w:firstLineChars="0"/>
        <w:rPr>
          <w:rFonts w:hint="eastAsia" w:eastAsia="黑体"/>
          <w:b/>
          <w:color w:val="auto"/>
          <w:spacing w:val="-20"/>
          <w:sz w:val="58"/>
          <w:szCs w:val="58"/>
        </w:rPr>
      </w:pPr>
      <w:r>
        <w:rPr>
          <w:rFonts w:hint="eastAsia" w:eastAsia="黑体"/>
          <w:b/>
          <w:color w:val="auto"/>
          <w:spacing w:val="-20"/>
          <w:sz w:val="58"/>
          <w:szCs w:val="58"/>
        </w:rPr>
        <w:t>西安市中心血站医疗设备采购项目</w:t>
      </w:r>
    </w:p>
    <w:p w14:paraId="293E35A1">
      <w:pPr>
        <w:jc w:val="center"/>
        <w:rPr>
          <w:rFonts w:hint="eastAsia" w:ascii="黑体" w:eastAsia="黑体"/>
          <w:b/>
          <w:color w:val="auto"/>
          <w:sz w:val="72"/>
          <w:szCs w:val="72"/>
        </w:rPr>
      </w:pPr>
      <w:r>
        <w:rPr>
          <w:rFonts w:hint="eastAsia" w:ascii="黑体" w:eastAsia="黑体"/>
          <w:b/>
          <w:color w:val="auto"/>
          <w:sz w:val="72"/>
          <w:szCs w:val="72"/>
        </w:rPr>
        <w:t>供 货 合 同</w:t>
      </w:r>
    </w:p>
    <w:p w14:paraId="178F5CAB">
      <w:pPr>
        <w:jc w:val="center"/>
        <w:rPr>
          <w:rFonts w:hint="eastAsia" w:ascii="黑体" w:eastAsia="黑体"/>
          <w:color w:val="auto"/>
          <w:sz w:val="30"/>
          <w:szCs w:val="30"/>
        </w:rPr>
      </w:pPr>
      <w:r>
        <w:rPr>
          <w:rFonts w:hint="eastAsia" w:ascii="黑体" w:eastAsia="黑体"/>
          <w:color w:val="auto"/>
          <w:sz w:val="30"/>
          <w:szCs w:val="30"/>
        </w:rPr>
        <w:t>(编号：)</w:t>
      </w:r>
    </w:p>
    <w:p w14:paraId="11211F76">
      <w:pPr>
        <w:jc w:val="center"/>
        <w:rPr>
          <w:rFonts w:hint="eastAsia" w:ascii="黑体" w:eastAsia="黑体"/>
          <w:color w:val="auto"/>
          <w:sz w:val="30"/>
          <w:szCs w:val="30"/>
        </w:rPr>
      </w:pPr>
    </w:p>
    <w:p w14:paraId="72E9E0D8">
      <w:pPr>
        <w:jc w:val="center"/>
        <w:rPr>
          <w:rFonts w:hint="eastAsia" w:ascii="黑体" w:eastAsia="黑体"/>
          <w:color w:val="auto"/>
          <w:sz w:val="30"/>
          <w:szCs w:val="30"/>
        </w:rPr>
      </w:pPr>
    </w:p>
    <w:p w14:paraId="603A63AF">
      <w:pPr>
        <w:jc w:val="center"/>
        <w:rPr>
          <w:rFonts w:hint="eastAsia" w:ascii="黑体" w:eastAsia="黑体"/>
          <w:color w:val="auto"/>
          <w:sz w:val="30"/>
          <w:szCs w:val="30"/>
        </w:rPr>
      </w:pPr>
    </w:p>
    <w:p w14:paraId="7C7570A5">
      <w:pPr>
        <w:jc w:val="center"/>
        <w:rPr>
          <w:rFonts w:hint="eastAsia" w:ascii="黑体" w:eastAsia="黑体"/>
          <w:color w:val="auto"/>
          <w:sz w:val="30"/>
          <w:szCs w:val="30"/>
        </w:rPr>
      </w:pPr>
    </w:p>
    <w:p w14:paraId="5F67FFF1">
      <w:pPr>
        <w:jc w:val="center"/>
        <w:rPr>
          <w:rFonts w:hint="eastAsia" w:ascii="黑体" w:eastAsia="黑体"/>
          <w:color w:val="auto"/>
          <w:sz w:val="30"/>
          <w:szCs w:val="30"/>
        </w:rPr>
      </w:pPr>
    </w:p>
    <w:p w14:paraId="5A0B37C9">
      <w:pPr>
        <w:jc w:val="center"/>
        <w:rPr>
          <w:rFonts w:hint="eastAsia" w:ascii="黑体" w:eastAsia="黑体"/>
          <w:color w:val="auto"/>
          <w:sz w:val="30"/>
          <w:szCs w:val="30"/>
        </w:rPr>
      </w:pPr>
    </w:p>
    <w:p w14:paraId="7A9EA50F">
      <w:pPr>
        <w:ind w:firstLine="2080" w:firstLineChars="650"/>
        <w:rPr>
          <w:rFonts w:hint="eastAsia" w:ascii="黑体" w:eastAsia="黑体"/>
          <w:color w:val="auto"/>
          <w:sz w:val="32"/>
          <w:szCs w:val="32"/>
        </w:rPr>
      </w:pPr>
      <w:r>
        <w:rPr>
          <w:rFonts w:hint="eastAsia" w:ascii="黑体" w:eastAsia="黑体"/>
          <w:color w:val="auto"/>
          <w:sz w:val="32"/>
          <w:szCs w:val="32"/>
        </w:rPr>
        <w:t>甲  方：</w:t>
      </w:r>
      <w:r>
        <w:rPr>
          <w:rFonts w:hint="eastAsia" w:ascii="黑体" w:hAnsi="宋体" w:eastAsia="黑体"/>
          <w:color w:val="auto"/>
          <w:sz w:val="32"/>
          <w:szCs w:val="32"/>
        </w:rPr>
        <w:t>西安市中心血站</w:t>
      </w:r>
    </w:p>
    <w:p w14:paraId="4DF490C8">
      <w:pPr>
        <w:tabs>
          <w:tab w:val="left" w:pos="480"/>
        </w:tabs>
        <w:ind w:firstLine="640" w:firstLineChars="200"/>
        <w:rPr>
          <w:rFonts w:hint="eastAsia" w:ascii="黑体" w:hAnsi="宋体" w:eastAsia="黑体"/>
          <w:color w:val="auto"/>
          <w:sz w:val="32"/>
          <w:szCs w:val="32"/>
        </w:rPr>
      </w:pPr>
      <w:r>
        <w:rPr>
          <w:rFonts w:hint="eastAsia" w:ascii="黑体" w:eastAsia="黑体"/>
          <w:color w:val="auto"/>
          <w:sz w:val="32"/>
          <w:szCs w:val="32"/>
        </w:rPr>
        <w:t xml:space="preserve">         乙  方：</w:t>
      </w:r>
    </w:p>
    <w:p w14:paraId="33B44135">
      <w:pPr>
        <w:rPr>
          <w:rFonts w:hint="eastAsia" w:ascii="黑体" w:eastAsia="黑体"/>
          <w:color w:val="auto"/>
          <w:sz w:val="32"/>
          <w:szCs w:val="32"/>
        </w:rPr>
      </w:pPr>
      <w:r>
        <w:rPr>
          <w:rFonts w:hint="eastAsia" w:ascii="黑体" w:eastAsia="黑体"/>
          <w:color w:val="auto"/>
          <w:sz w:val="32"/>
          <w:szCs w:val="32"/>
        </w:rPr>
        <w:t xml:space="preserve">            </w:t>
      </w:r>
    </w:p>
    <w:p w14:paraId="2F9932C3">
      <w:pPr>
        <w:jc w:val="center"/>
        <w:rPr>
          <w:rFonts w:hint="eastAsia" w:ascii="黑体" w:eastAsia="黑体"/>
          <w:color w:val="auto"/>
          <w:sz w:val="30"/>
          <w:szCs w:val="30"/>
        </w:rPr>
      </w:pPr>
    </w:p>
    <w:p w14:paraId="1E5E4572">
      <w:pPr>
        <w:jc w:val="center"/>
        <w:rPr>
          <w:rFonts w:hint="eastAsia" w:ascii="黑体" w:eastAsia="黑体"/>
          <w:color w:val="auto"/>
          <w:sz w:val="32"/>
          <w:szCs w:val="32"/>
        </w:rPr>
      </w:pPr>
      <w:r>
        <w:rPr>
          <w:rFonts w:hint="eastAsia" w:ascii="黑体" w:eastAsia="黑体"/>
          <w:color w:val="auto"/>
          <w:sz w:val="32"/>
          <w:szCs w:val="32"/>
        </w:rPr>
        <w:t>年</w:t>
      </w:r>
      <w:r>
        <w:rPr>
          <w:rFonts w:hint="eastAsia" w:ascii="黑体" w:eastAsia="黑体"/>
          <w:color w:val="auto"/>
          <w:sz w:val="32"/>
          <w:szCs w:val="32"/>
          <w:lang w:val="en-US" w:eastAsia="zh-CN"/>
        </w:rPr>
        <w:t xml:space="preserve">   </w:t>
      </w:r>
      <w:r>
        <w:rPr>
          <w:rFonts w:hint="eastAsia" w:ascii="黑体" w:eastAsia="黑体"/>
          <w:color w:val="auto"/>
          <w:sz w:val="32"/>
          <w:szCs w:val="32"/>
        </w:rPr>
        <w:t>月</w:t>
      </w:r>
    </w:p>
    <w:p w14:paraId="30FF3475">
      <w:pPr>
        <w:jc w:val="center"/>
        <w:rPr>
          <w:rFonts w:hint="eastAsia" w:ascii="黑体" w:eastAsia="黑体"/>
          <w:color w:val="auto"/>
          <w:sz w:val="32"/>
          <w:szCs w:val="32"/>
        </w:rPr>
      </w:pPr>
      <w:r>
        <w:rPr>
          <w:rFonts w:hint="eastAsia" w:ascii="黑体" w:eastAsia="黑体"/>
          <w:color w:val="auto"/>
          <w:sz w:val="32"/>
          <w:szCs w:val="32"/>
        </w:rPr>
        <w:t>中国  西安</w:t>
      </w:r>
    </w:p>
    <w:p w14:paraId="672EB253">
      <w:pPr>
        <w:jc w:val="center"/>
        <w:rPr>
          <w:rFonts w:hint="eastAsia" w:ascii="黑体" w:eastAsia="黑体"/>
          <w:color w:val="auto"/>
          <w:sz w:val="32"/>
          <w:szCs w:val="32"/>
        </w:rPr>
      </w:pPr>
    </w:p>
    <w:p w14:paraId="1B8BD661">
      <w:pPr>
        <w:jc w:val="center"/>
        <w:rPr>
          <w:rFonts w:hint="eastAsia" w:ascii="黑体" w:eastAsia="黑体"/>
          <w:color w:val="auto"/>
          <w:sz w:val="32"/>
          <w:szCs w:val="32"/>
        </w:rPr>
      </w:pPr>
    </w:p>
    <w:p w14:paraId="6EFC944C">
      <w:pPr>
        <w:jc w:val="center"/>
        <w:rPr>
          <w:rFonts w:hint="eastAsia" w:ascii="黑体" w:eastAsia="黑体"/>
          <w:b/>
          <w:color w:val="auto"/>
          <w:sz w:val="36"/>
          <w:szCs w:val="36"/>
        </w:rPr>
      </w:pPr>
      <w:r>
        <w:rPr>
          <w:rFonts w:hint="eastAsia" w:ascii="黑体" w:eastAsia="黑体"/>
          <w:b/>
          <w:color w:val="auto"/>
          <w:sz w:val="36"/>
          <w:szCs w:val="36"/>
        </w:rPr>
        <w:t>供 货 合 同</w:t>
      </w:r>
    </w:p>
    <w:p w14:paraId="67164823">
      <w:pPr>
        <w:ind w:firstLine="480" w:firstLineChars="200"/>
        <w:rPr>
          <w:rFonts w:hint="eastAsia" w:ascii="宋体" w:hAnsi="宋体"/>
          <w:color w:val="auto"/>
          <w:sz w:val="24"/>
          <w:szCs w:val="24"/>
        </w:rPr>
      </w:pPr>
      <w:r>
        <w:rPr>
          <w:rFonts w:hint="eastAsia" w:ascii="宋体" w:hAnsi="宋体"/>
          <w:color w:val="auto"/>
          <w:sz w:val="24"/>
          <w:szCs w:val="24"/>
        </w:rPr>
        <w:t>甲方：西安市中心血站</w:t>
      </w:r>
    </w:p>
    <w:p w14:paraId="76B4A394">
      <w:pPr>
        <w:ind w:firstLine="480" w:firstLineChars="200"/>
        <w:rPr>
          <w:rFonts w:hint="eastAsia" w:ascii="宋体" w:hAnsi="宋体"/>
          <w:color w:val="auto"/>
          <w:sz w:val="24"/>
          <w:szCs w:val="24"/>
        </w:rPr>
      </w:pPr>
      <w:r>
        <w:rPr>
          <w:rFonts w:hint="eastAsia" w:ascii="宋体" w:hAnsi="宋体"/>
          <w:color w:val="auto"/>
          <w:sz w:val="24"/>
          <w:szCs w:val="24"/>
        </w:rPr>
        <w:t>乙方：</w:t>
      </w:r>
    </w:p>
    <w:p w14:paraId="418A9C71">
      <w:pPr>
        <w:ind w:firstLine="480" w:firstLineChars="200"/>
        <w:rPr>
          <w:rFonts w:hint="eastAsia" w:ascii="宋体" w:hAnsi="宋体"/>
          <w:color w:val="auto"/>
          <w:sz w:val="24"/>
          <w:szCs w:val="24"/>
        </w:rPr>
      </w:pPr>
    </w:p>
    <w:p w14:paraId="593EADDB">
      <w:pPr>
        <w:ind w:firstLine="480" w:firstLineChars="200"/>
        <w:rPr>
          <w:rFonts w:ascii="宋体" w:hAnsi="宋体"/>
          <w:color w:val="auto"/>
          <w:sz w:val="24"/>
          <w:szCs w:val="24"/>
        </w:rPr>
      </w:pPr>
      <w:r>
        <w:rPr>
          <w:rFonts w:hint="eastAsia" w:ascii="宋体" w:hAnsi="宋体"/>
          <w:color w:val="auto"/>
          <w:sz w:val="24"/>
          <w:szCs w:val="24"/>
        </w:rPr>
        <w:t>依据《中华人民共和国政府采购法》、《中华人民共和国招标投标法》、《中华人民共和国民法典》以及成交供应商谈判响应文件正本和澄清表，经甲、乙双方协商</w:t>
      </w:r>
      <w:r>
        <w:rPr>
          <w:rFonts w:hint="eastAsia" w:ascii="宋体" w:hAnsi="宋体"/>
          <w:color w:val="auto"/>
          <w:sz w:val="24"/>
          <w:szCs w:val="24"/>
        </w:rPr>
        <w:t>，</w:t>
      </w:r>
      <w:r>
        <w:rPr>
          <w:rFonts w:hint="eastAsia" w:ascii="宋体" w:hAnsi="宋体"/>
          <w:color w:val="auto"/>
          <w:sz w:val="24"/>
          <w:szCs w:val="24"/>
        </w:rPr>
        <w:t>达成如下条款。</w:t>
      </w:r>
    </w:p>
    <w:p w14:paraId="007F6184">
      <w:pPr>
        <w:tabs>
          <w:tab w:val="left" w:pos="480"/>
        </w:tabs>
        <w:ind w:firstLine="482" w:firstLineChars="200"/>
        <w:rPr>
          <w:rFonts w:hint="eastAsia" w:ascii="宋体" w:hAnsi="宋体"/>
          <w:b/>
          <w:color w:val="auto"/>
          <w:sz w:val="24"/>
          <w:szCs w:val="24"/>
        </w:rPr>
      </w:pPr>
      <w:r>
        <w:rPr>
          <w:rFonts w:hint="eastAsia" w:ascii="宋体" w:hAnsi="宋体"/>
          <w:b/>
          <w:color w:val="auto"/>
          <w:sz w:val="24"/>
          <w:szCs w:val="24"/>
        </w:rPr>
        <w:t>一、合同标的物内容及数量</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2315"/>
        <w:gridCol w:w="1852"/>
        <w:gridCol w:w="1083"/>
        <w:gridCol w:w="1530"/>
        <w:gridCol w:w="1008"/>
      </w:tblGrid>
      <w:tr w14:paraId="3A44C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05A302BD">
            <w:pPr>
              <w:tabs>
                <w:tab w:val="left" w:pos="480"/>
              </w:tabs>
              <w:jc w:val="center"/>
              <w:rPr>
                <w:rFonts w:ascii="宋体" w:hAnsi="宋体"/>
                <w:color w:val="auto"/>
                <w:sz w:val="24"/>
                <w:szCs w:val="24"/>
              </w:rPr>
            </w:pPr>
            <w:r>
              <w:rPr>
                <w:rFonts w:hint="eastAsia" w:ascii="宋体" w:hAnsi="宋体"/>
                <w:color w:val="auto"/>
                <w:sz w:val="24"/>
                <w:szCs w:val="24"/>
              </w:rPr>
              <w:t>序号</w:t>
            </w:r>
          </w:p>
        </w:tc>
        <w:tc>
          <w:tcPr>
            <w:tcW w:w="2486" w:type="dxa"/>
            <w:tcBorders>
              <w:top w:val="single" w:color="auto" w:sz="4" w:space="0"/>
              <w:left w:val="single" w:color="auto" w:sz="4" w:space="0"/>
              <w:bottom w:val="single" w:color="auto" w:sz="4" w:space="0"/>
              <w:right w:val="single" w:color="auto" w:sz="4" w:space="0"/>
            </w:tcBorders>
            <w:noWrap w:val="0"/>
            <w:vAlign w:val="center"/>
          </w:tcPr>
          <w:p w14:paraId="65D69648">
            <w:pPr>
              <w:tabs>
                <w:tab w:val="left" w:pos="480"/>
              </w:tabs>
              <w:jc w:val="center"/>
              <w:rPr>
                <w:rFonts w:ascii="宋体" w:hAnsi="宋体"/>
                <w:color w:val="auto"/>
                <w:sz w:val="24"/>
                <w:szCs w:val="24"/>
              </w:rPr>
            </w:pPr>
            <w:r>
              <w:rPr>
                <w:rFonts w:hint="eastAsia" w:ascii="宋体" w:hAnsi="宋体"/>
                <w:color w:val="auto"/>
                <w:sz w:val="24"/>
                <w:szCs w:val="24"/>
              </w:rPr>
              <w:t>货物名称</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A632677">
            <w:pPr>
              <w:tabs>
                <w:tab w:val="left" w:pos="480"/>
              </w:tabs>
              <w:jc w:val="center"/>
              <w:rPr>
                <w:rFonts w:ascii="宋体" w:hAnsi="宋体"/>
                <w:color w:val="auto"/>
                <w:sz w:val="24"/>
                <w:szCs w:val="24"/>
              </w:rPr>
            </w:pPr>
            <w:r>
              <w:rPr>
                <w:rFonts w:hint="eastAsia" w:ascii="宋体" w:hAnsi="宋体"/>
                <w:color w:val="auto"/>
                <w:sz w:val="24"/>
                <w:szCs w:val="24"/>
              </w:rPr>
              <w:t>规格参数</w:t>
            </w:r>
          </w:p>
        </w:tc>
        <w:tc>
          <w:tcPr>
            <w:tcW w:w="1140" w:type="dxa"/>
            <w:tcBorders>
              <w:top w:val="single" w:color="auto" w:sz="4" w:space="0"/>
              <w:left w:val="single" w:color="auto" w:sz="4" w:space="0"/>
              <w:bottom w:val="single" w:color="auto" w:sz="4" w:space="0"/>
              <w:right w:val="single" w:color="auto" w:sz="4" w:space="0"/>
            </w:tcBorders>
            <w:noWrap w:val="0"/>
            <w:vAlign w:val="center"/>
          </w:tcPr>
          <w:p w14:paraId="18DA165D">
            <w:pPr>
              <w:tabs>
                <w:tab w:val="left" w:pos="480"/>
              </w:tabs>
              <w:jc w:val="center"/>
              <w:rPr>
                <w:rFonts w:ascii="宋体" w:hAnsi="宋体"/>
                <w:color w:val="auto"/>
                <w:sz w:val="24"/>
                <w:szCs w:val="24"/>
              </w:rPr>
            </w:pPr>
            <w:r>
              <w:rPr>
                <w:rFonts w:hint="eastAsia" w:ascii="宋体" w:hAnsi="宋体"/>
                <w:color w:val="auto"/>
                <w:sz w:val="24"/>
                <w:szCs w:val="24"/>
              </w:rPr>
              <w:t>数量</w:t>
            </w:r>
          </w:p>
        </w:tc>
        <w:tc>
          <w:tcPr>
            <w:tcW w:w="1629" w:type="dxa"/>
            <w:tcBorders>
              <w:top w:val="single" w:color="auto" w:sz="4" w:space="0"/>
              <w:left w:val="single" w:color="auto" w:sz="4" w:space="0"/>
              <w:bottom w:val="single" w:color="auto" w:sz="4" w:space="0"/>
              <w:right w:val="single" w:color="auto" w:sz="4" w:space="0"/>
            </w:tcBorders>
            <w:noWrap w:val="0"/>
            <w:vAlign w:val="top"/>
          </w:tcPr>
          <w:p w14:paraId="0A21FF9E">
            <w:pPr>
              <w:tabs>
                <w:tab w:val="left" w:pos="480"/>
              </w:tabs>
              <w:jc w:val="center"/>
              <w:rPr>
                <w:rFonts w:ascii="宋体" w:hAnsi="宋体"/>
                <w:color w:val="auto"/>
                <w:sz w:val="24"/>
                <w:szCs w:val="24"/>
              </w:rPr>
            </w:pPr>
            <w:r>
              <w:rPr>
                <w:rFonts w:hint="eastAsia" w:ascii="宋体" w:hAnsi="宋体"/>
                <w:color w:val="auto"/>
                <w:sz w:val="24"/>
                <w:szCs w:val="24"/>
              </w:rPr>
              <w:t>产地</w:t>
            </w:r>
          </w:p>
        </w:tc>
        <w:tc>
          <w:tcPr>
            <w:tcW w:w="1059" w:type="dxa"/>
            <w:tcBorders>
              <w:top w:val="single" w:color="auto" w:sz="4" w:space="0"/>
              <w:left w:val="single" w:color="auto" w:sz="4" w:space="0"/>
              <w:bottom w:val="single" w:color="auto" w:sz="4" w:space="0"/>
              <w:right w:val="single" w:color="auto" w:sz="4" w:space="0"/>
            </w:tcBorders>
            <w:noWrap w:val="0"/>
            <w:vAlign w:val="top"/>
          </w:tcPr>
          <w:p w14:paraId="7B1A1EAE">
            <w:pPr>
              <w:tabs>
                <w:tab w:val="left" w:pos="480"/>
              </w:tabs>
              <w:jc w:val="center"/>
              <w:rPr>
                <w:rFonts w:ascii="宋体" w:hAnsi="宋体"/>
                <w:color w:val="auto"/>
                <w:sz w:val="24"/>
                <w:szCs w:val="24"/>
              </w:rPr>
            </w:pPr>
            <w:r>
              <w:rPr>
                <w:rFonts w:hint="eastAsia" w:ascii="宋体" w:hAnsi="宋体"/>
                <w:color w:val="auto"/>
                <w:sz w:val="24"/>
                <w:szCs w:val="24"/>
              </w:rPr>
              <w:t>备注</w:t>
            </w:r>
          </w:p>
        </w:tc>
      </w:tr>
      <w:tr w14:paraId="0F2D1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7CC0320D">
            <w:pPr>
              <w:tabs>
                <w:tab w:val="left" w:pos="480"/>
              </w:tabs>
              <w:jc w:val="center"/>
              <w:rPr>
                <w:rFonts w:ascii="宋体" w:hAnsi="宋体"/>
                <w:color w:val="auto"/>
                <w:sz w:val="24"/>
                <w:szCs w:val="24"/>
              </w:rPr>
            </w:pPr>
            <w:r>
              <w:rPr>
                <w:rFonts w:hint="eastAsia" w:ascii="宋体" w:hAnsi="宋体"/>
                <w:color w:val="auto"/>
                <w:sz w:val="24"/>
                <w:szCs w:val="24"/>
              </w:rPr>
              <w:t>1</w:t>
            </w:r>
          </w:p>
        </w:tc>
        <w:tc>
          <w:tcPr>
            <w:tcW w:w="2486" w:type="dxa"/>
            <w:tcBorders>
              <w:top w:val="single" w:color="auto" w:sz="4" w:space="0"/>
              <w:left w:val="single" w:color="auto" w:sz="4" w:space="0"/>
              <w:bottom w:val="single" w:color="auto" w:sz="4" w:space="0"/>
              <w:right w:val="single" w:color="auto" w:sz="4" w:space="0"/>
            </w:tcBorders>
            <w:noWrap w:val="0"/>
            <w:vAlign w:val="top"/>
          </w:tcPr>
          <w:p w14:paraId="4381C3C6">
            <w:pPr>
              <w:rPr>
                <w:rFonts w:hint="eastAsia"/>
                <w:color w:val="auto"/>
                <w:sz w:val="24"/>
                <w:szCs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278010DE">
            <w:pPr>
              <w:rPr>
                <w:color w:val="auto"/>
                <w:sz w:val="24"/>
                <w:szCs w:val="24"/>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80CAD11">
            <w:pPr>
              <w:jc w:val="center"/>
              <w:rPr>
                <w:rFonts w:hint="default" w:eastAsia="宋体"/>
                <w:color w:val="auto"/>
                <w:sz w:val="24"/>
                <w:szCs w:val="24"/>
                <w:lang w:val="en-US" w:eastAsia="zh-CN"/>
              </w:rPr>
            </w:pPr>
          </w:p>
        </w:tc>
        <w:tc>
          <w:tcPr>
            <w:tcW w:w="1629" w:type="dxa"/>
            <w:tcBorders>
              <w:top w:val="single" w:color="auto" w:sz="4" w:space="0"/>
              <w:left w:val="single" w:color="auto" w:sz="4" w:space="0"/>
              <w:bottom w:val="single" w:color="auto" w:sz="4" w:space="0"/>
              <w:right w:val="single" w:color="auto" w:sz="4" w:space="0"/>
            </w:tcBorders>
            <w:noWrap w:val="0"/>
            <w:vAlign w:val="top"/>
          </w:tcPr>
          <w:p w14:paraId="022DCFD1">
            <w:pPr>
              <w:jc w:val="center"/>
              <w:rPr>
                <w:rFonts w:hint="eastAsia"/>
                <w:color w:val="auto"/>
                <w:sz w:val="24"/>
                <w:szCs w:val="24"/>
              </w:rPr>
            </w:pPr>
          </w:p>
        </w:tc>
        <w:tc>
          <w:tcPr>
            <w:tcW w:w="1059" w:type="dxa"/>
            <w:tcBorders>
              <w:top w:val="single" w:color="auto" w:sz="4" w:space="0"/>
              <w:left w:val="single" w:color="auto" w:sz="4" w:space="0"/>
              <w:bottom w:val="single" w:color="auto" w:sz="4" w:space="0"/>
              <w:right w:val="single" w:color="auto" w:sz="4" w:space="0"/>
            </w:tcBorders>
            <w:noWrap w:val="0"/>
            <w:vAlign w:val="top"/>
          </w:tcPr>
          <w:p w14:paraId="00A5DD95">
            <w:pPr>
              <w:tabs>
                <w:tab w:val="left" w:pos="480"/>
              </w:tabs>
              <w:jc w:val="center"/>
              <w:rPr>
                <w:rFonts w:ascii="宋体" w:hAnsi="宋体"/>
                <w:color w:val="auto"/>
                <w:sz w:val="24"/>
                <w:szCs w:val="24"/>
              </w:rPr>
            </w:pPr>
          </w:p>
        </w:tc>
      </w:tr>
      <w:tr w14:paraId="78F71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9" w:type="dxa"/>
            <w:tcBorders>
              <w:top w:val="single" w:color="auto" w:sz="4" w:space="0"/>
              <w:left w:val="single" w:color="auto" w:sz="4" w:space="0"/>
              <w:bottom w:val="single" w:color="auto" w:sz="4" w:space="0"/>
              <w:right w:val="single" w:color="auto" w:sz="4" w:space="0"/>
            </w:tcBorders>
            <w:noWrap w:val="0"/>
            <w:vAlign w:val="center"/>
          </w:tcPr>
          <w:p w14:paraId="440FF6B6">
            <w:pPr>
              <w:tabs>
                <w:tab w:val="left" w:pos="480"/>
              </w:tabs>
              <w:jc w:val="center"/>
              <w:rPr>
                <w:rFonts w:ascii="宋体" w:hAnsi="宋体"/>
                <w:color w:val="auto"/>
                <w:sz w:val="24"/>
                <w:szCs w:val="24"/>
              </w:rPr>
            </w:pPr>
            <w:r>
              <w:rPr>
                <w:rFonts w:hint="eastAsia" w:ascii="宋体" w:hAnsi="宋体"/>
                <w:color w:val="auto"/>
                <w:sz w:val="24"/>
                <w:szCs w:val="24"/>
              </w:rPr>
              <w:t>说明</w:t>
            </w:r>
          </w:p>
        </w:tc>
        <w:tc>
          <w:tcPr>
            <w:tcW w:w="8294" w:type="dxa"/>
            <w:gridSpan w:val="5"/>
            <w:tcBorders>
              <w:top w:val="single" w:color="auto" w:sz="4" w:space="0"/>
              <w:left w:val="single" w:color="auto" w:sz="4" w:space="0"/>
              <w:bottom w:val="single" w:color="auto" w:sz="4" w:space="0"/>
              <w:right w:val="single" w:color="auto" w:sz="4" w:space="0"/>
            </w:tcBorders>
            <w:noWrap w:val="0"/>
            <w:vAlign w:val="center"/>
          </w:tcPr>
          <w:p w14:paraId="2FCB4F55">
            <w:pPr>
              <w:tabs>
                <w:tab w:val="left" w:pos="480"/>
              </w:tabs>
              <w:jc w:val="center"/>
              <w:rPr>
                <w:rFonts w:ascii="宋体" w:hAnsi="宋体"/>
                <w:color w:val="auto"/>
                <w:sz w:val="24"/>
                <w:szCs w:val="24"/>
              </w:rPr>
            </w:pPr>
          </w:p>
        </w:tc>
      </w:tr>
    </w:tbl>
    <w:p w14:paraId="145010E1">
      <w:pPr>
        <w:tabs>
          <w:tab w:val="left" w:pos="480"/>
        </w:tabs>
        <w:jc w:val="left"/>
        <w:rPr>
          <w:rFonts w:ascii="宋体" w:hAnsi="宋体"/>
          <w:color w:val="auto"/>
          <w:sz w:val="24"/>
          <w:szCs w:val="24"/>
        </w:rPr>
      </w:pPr>
      <w:r>
        <w:rPr>
          <w:rFonts w:hint="eastAsia" w:ascii="宋体" w:hAnsi="宋体"/>
          <w:b/>
          <w:color w:val="auto"/>
          <w:sz w:val="24"/>
          <w:szCs w:val="24"/>
        </w:rPr>
        <w:t xml:space="preserve"> </w:t>
      </w:r>
      <w:r>
        <w:rPr>
          <w:rFonts w:hint="eastAsia" w:ascii="宋体" w:hAnsi="宋体"/>
          <w:color w:val="auto"/>
          <w:sz w:val="24"/>
          <w:szCs w:val="24"/>
        </w:rPr>
        <w:t xml:space="preserve"> </w:t>
      </w:r>
      <w:r>
        <w:rPr>
          <w:rFonts w:hint="eastAsia" w:ascii="宋体" w:hAnsi="宋体"/>
          <w:color w:val="auto"/>
          <w:sz w:val="24"/>
          <w:szCs w:val="24"/>
        </w:rPr>
        <w:t>（一）乙方保证对所售卖的设备拥有所有权和处分权。</w:t>
      </w:r>
    </w:p>
    <w:p w14:paraId="7F6F6F72">
      <w:pPr>
        <w:tabs>
          <w:tab w:val="left" w:pos="480"/>
        </w:tabs>
        <w:rPr>
          <w:rFonts w:hint="eastAsia" w:ascii="宋体" w:hAnsi="宋体"/>
          <w:color w:val="auto"/>
          <w:sz w:val="24"/>
          <w:szCs w:val="24"/>
        </w:rPr>
      </w:pPr>
      <w:r>
        <w:rPr>
          <w:rFonts w:hint="eastAsia" w:ascii="宋体" w:hAnsi="宋体"/>
          <w:color w:val="auto"/>
          <w:sz w:val="24"/>
          <w:szCs w:val="24"/>
        </w:rPr>
        <w:t xml:space="preserve">  （二）乙方保证所供设备不侵犯第三人的知识产权和其他权益。</w:t>
      </w:r>
    </w:p>
    <w:p w14:paraId="500842ED">
      <w:pPr>
        <w:tabs>
          <w:tab w:val="left" w:pos="480"/>
        </w:tabs>
        <w:ind w:firstLine="472" w:firstLineChars="196"/>
        <w:rPr>
          <w:rFonts w:hint="eastAsia" w:ascii="宋体" w:hAnsi="宋体"/>
          <w:b/>
          <w:color w:val="auto"/>
          <w:sz w:val="24"/>
          <w:szCs w:val="24"/>
        </w:rPr>
      </w:pPr>
      <w:r>
        <w:rPr>
          <w:rFonts w:hint="eastAsia" w:ascii="宋体" w:hAnsi="宋体"/>
          <w:b/>
          <w:color w:val="auto"/>
          <w:sz w:val="24"/>
          <w:szCs w:val="24"/>
        </w:rPr>
        <w:t>二、合同价款</w:t>
      </w:r>
    </w:p>
    <w:p w14:paraId="69D6CBA6">
      <w:pPr>
        <w:tabs>
          <w:tab w:val="left" w:pos="480"/>
        </w:tabs>
        <w:ind w:firstLine="480" w:firstLineChars="200"/>
        <w:rPr>
          <w:rFonts w:hint="default" w:ascii="宋体" w:hAnsi="宋体" w:eastAsia="宋体" w:cs="宋体"/>
          <w:color w:val="auto"/>
          <w:sz w:val="24"/>
          <w:szCs w:val="24"/>
          <w:u w:val="single"/>
          <w:lang w:val="en-US" w:eastAsia="zh-CN"/>
        </w:rPr>
      </w:pPr>
      <w:r>
        <w:rPr>
          <w:rFonts w:hint="eastAsia" w:ascii="宋体" w:hAnsi="宋体"/>
          <w:color w:val="auto"/>
          <w:sz w:val="24"/>
          <w:szCs w:val="24"/>
        </w:rPr>
        <w:t>（一</w:t>
      </w:r>
      <w:r>
        <w:rPr>
          <w:rFonts w:hint="eastAsia" w:ascii="宋体" w:hAnsi="宋体" w:eastAsia="宋体" w:cs="宋体"/>
          <w:color w:val="auto"/>
          <w:sz w:val="24"/>
          <w:szCs w:val="24"/>
        </w:rPr>
        <w:t>）合同总价款为人民币（大写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p>
    <w:p w14:paraId="3ADFB828">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（二）合同总价包括：货物费、运输费（含保险费）、安装调试费、检测验收费及其它费用。</w:t>
      </w:r>
    </w:p>
    <w:p w14:paraId="5FDF5F78">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（三）合同总价一次性包死，不受市场价格变化因素的影响。（该价款不因原料材料劳务能源等市场价格的变动而变动。）</w:t>
      </w:r>
    </w:p>
    <w:p w14:paraId="57073A73">
      <w:pPr>
        <w:tabs>
          <w:tab w:val="left" w:pos="480"/>
        </w:tabs>
        <w:ind w:firstLine="472" w:firstLineChars="196"/>
        <w:rPr>
          <w:rFonts w:hint="eastAsia" w:ascii="宋体" w:hAnsi="宋体"/>
          <w:b/>
          <w:color w:val="auto"/>
          <w:sz w:val="24"/>
          <w:szCs w:val="24"/>
        </w:rPr>
      </w:pPr>
      <w:r>
        <w:rPr>
          <w:rFonts w:hint="eastAsia" w:ascii="宋体" w:hAnsi="宋体"/>
          <w:b/>
          <w:color w:val="auto"/>
          <w:sz w:val="24"/>
          <w:szCs w:val="24"/>
        </w:rPr>
        <w:t>三、款项结算</w:t>
      </w:r>
    </w:p>
    <w:p w14:paraId="1ACA8B50">
      <w:pPr>
        <w:ind w:firstLine="480" w:firstLineChars="200"/>
        <w:rPr>
          <w:rFonts w:hint="eastAsia" w:ascii="宋体" w:hAnsi="宋体"/>
          <w:bCs/>
          <w:color w:val="auto"/>
          <w:sz w:val="24"/>
          <w:szCs w:val="24"/>
        </w:rPr>
      </w:pPr>
      <w:r>
        <w:rPr>
          <w:rFonts w:hint="eastAsia" w:ascii="宋体" w:hAnsi="宋体"/>
          <w:color w:val="auto"/>
          <w:sz w:val="24"/>
          <w:szCs w:val="24"/>
        </w:rPr>
        <w:t>（一）设备安装、验收、培训、使用科室确认合格之日起30日内付合同总款价100%即人民币（大写）</w:t>
      </w:r>
      <w:r>
        <w:rPr>
          <w:rFonts w:hint="eastAsia" w:ascii="宋体" w:hAnsi="宋体" w:eastAsia="宋体" w:cs="宋体"/>
          <w:color w:val="auto"/>
          <w:sz w:val="24"/>
          <w:szCs w:val="24"/>
          <w:u w:val="single"/>
          <w:lang w:val="en-US" w:eastAsia="zh-CN"/>
        </w:rPr>
        <w:t xml:space="preserve">                    。</w:t>
      </w:r>
    </w:p>
    <w:p w14:paraId="58216AA7">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（二）支付方式：银行转帐。</w:t>
      </w:r>
      <w:bookmarkStart w:id="1" w:name="_GoBack"/>
      <w:bookmarkEnd w:id="1"/>
    </w:p>
    <w:p w14:paraId="3EDE46C7">
      <w:pPr>
        <w:tabs>
          <w:tab w:val="left" w:pos="180"/>
          <w:tab w:val="left" w:pos="1080"/>
        </w:tabs>
        <w:spacing w:line="500" w:lineRule="exact"/>
        <w:ind w:firstLine="480" w:firstLineChars="200"/>
        <w:rPr>
          <w:rFonts w:hint="eastAsia" w:ascii="宋体" w:hAnsi="宋体"/>
          <w:color w:val="auto"/>
          <w:sz w:val="24"/>
          <w:szCs w:val="24"/>
        </w:rPr>
      </w:pPr>
      <w:r>
        <w:rPr>
          <w:rFonts w:hint="eastAsia" w:ascii="宋体" w:hAnsi="宋体"/>
          <w:color w:val="auto"/>
          <w:sz w:val="24"/>
          <w:szCs w:val="24"/>
        </w:rPr>
        <w:t>（三）结算方式：由乙方与采购人结算，发票开采购单位（增值税普通发票），验收合格后，</w:t>
      </w:r>
      <w:r>
        <w:rPr>
          <w:rFonts w:hint="eastAsia" w:ascii="宋体" w:hAnsi="宋体"/>
          <w:color w:val="auto"/>
          <w:sz w:val="24"/>
          <w:szCs w:val="24"/>
          <w:lang w:val="en-US" w:eastAsia="zh-CN"/>
        </w:rPr>
        <w:t>30个工作日</w:t>
      </w:r>
      <w:r>
        <w:rPr>
          <w:rFonts w:hint="eastAsia" w:ascii="宋体" w:hAnsi="宋体"/>
          <w:color w:val="auto"/>
          <w:sz w:val="24"/>
          <w:szCs w:val="24"/>
        </w:rPr>
        <w:t>内</w:t>
      </w:r>
      <w:r>
        <w:rPr>
          <w:rFonts w:hint="eastAsia" w:ascii="宋体" w:hAnsi="宋体"/>
          <w:color w:val="auto"/>
          <w:sz w:val="24"/>
          <w:szCs w:val="24"/>
        </w:rPr>
        <w:t>到采购单位根据增值税普通发票、验收单、供货合同等文件到采购单位办理付款手续。</w:t>
      </w:r>
    </w:p>
    <w:p w14:paraId="0E1AD712">
      <w:pPr>
        <w:tabs>
          <w:tab w:val="left" w:pos="480"/>
        </w:tabs>
        <w:ind w:firstLine="482" w:firstLineChars="200"/>
        <w:rPr>
          <w:rFonts w:hint="eastAsia" w:ascii="宋体" w:hAnsi="宋体"/>
          <w:color w:val="auto"/>
          <w:sz w:val="24"/>
          <w:szCs w:val="24"/>
        </w:rPr>
      </w:pPr>
      <w:r>
        <w:rPr>
          <w:rFonts w:hint="eastAsia" w:ascii="宋体" w:hAnsi="宋体"/>
          <w:b/>
          <w:color w:val="auto"/>
          <w:sz w:val="24"/>
          <w:szCs w:val="24"/>
        </w:rPr>
        <w:t>四、</w:t>
      </w:r>
      <w:r>
        <w:rPr>
          <w:rFonts w:hint="eastAsia" w:ascii="宋体" w:hAnsi="宋体"/>
          <w:b/>
          <w:bCs/>
          <w:color w:val="auto"/>
          <w:sz w:val="24"/>
          <w:szCs w:val="24"/>
        </w:rPr>
        <w:t>双方的权利和义务</w:t>
      </w:r>
    </w:p>
    <w:p w14:paraId="55B56FCE">
      <w:pPr>
        <w:ind w:firstLine="480" w:firstLineChars="200"/>
        <w:rPr>
          <w:rFonts w:hint="eastAsia" w:ascii="宋体" w:hAnsi="宋体"/>
          <w:color w:val="auto"/>
          <w:sz w:val="24"/>
          <w:szCs w:val="24"/>
        </w:rPr>
      </w:pPr>
      <w:r>
        <w:rPr>
          <w:rFonts w:hint="eastAsia" w:ascii="宋体" w:hAnsi="宋体"/>
          <w:color w:val="auto"/>
          <w:sz w:val="24"/>
          <w:szCs w:val="24"/>
        </w:rPr>
        <w:t>（一）甲方的权利和义务</w:t>
      </w:r>
    </w:p>
    <w:p w14:paraId="6A76E6AA">
      <w:pPr>
        <w:ind w:firstLine="240" w:firstLineChars="100"/>
        <w:rPr>
          <w:rFonts w:hint="eastAsia" w:ascii="宋体" w:hAnsi="宋体"/>
          <w:color w:val="auto"/>
          <w:sz w:val="24"/>
          <w:szCs w:val="24"/>
        </w:rPr>
      </w:pPr>
      <w:r>
        <w:rPr>
          <w:rFonts w:hint="eastAsia" w:ascii="宋体" w:hAnsi="宋体"/>
          <w:color w:val="auto"/>
          <w:sz w:val="24"/>
          <w:szCs w:val="24"/>
        </w:rPr>
        <w:t>1.甲方应按设备要求，在设备到达前准备好场地，保证水、电等条件到位。</w:t>
      </w:r>
    </w:p>
    <w:p w14:paraId="668646D0">
      <w:pPr>
        <w:ind w:firstLine="240" w:firstLineChars="100"/>
        <w:rPr>
          <w:rFonts w:hint="eastAsia" w:ascii="宋体" w:hAnsi="宋体"/>
          <w:color w:val="auto"/>
          <w:sz w:val="24"/>
          <w:szCs w:val="24"/>
        </w:rPr>
      </w:pPr>
      <w:r>
        <w:rPr>
          <w:rFonts w:hint="eastAsia" w:ascii="宋体" w:hAnsi="宋体"/>
          <w:color w:val="auto"/>
          <w:sz w:val="24"/>
          <w:szCs w:val="24"/>
        </w:rPr>
        <w:t>2.甲方有权要求乙方按约定的时间交付货物。甲方可提前2个日历日变更收货的具体时间。若需变更收货时间，甲方可采用电话、微信、电子邮件等方式通知乙方。甲方有权知晓乙方选用的运输方式、乙方拟定的发货时间及甲方预计的收货时间，以方便甲方安排人员收货和验收。</w:t>
      </w:r>
    </w:p>
    <w:p w14:paraId="5BFBA302">
      <w:pPr>
        <w:ind w:firstLine="240" w:firstLineChars="100"/>
        <w:rPr>
          <w:rFonts w:hint="eastAsia" w:ascii="宋体" w:hAnsi="宋体"/>
          <w:color w:val="auto"/>
          <w:sz w:val="24"/>
          <w:szCs w:val="24"/>
        </w:rPr>
      </w:pPr>
      <w:r>
        <w:rPr>
          <w:rFonts w:hint="eastAsia" w:ascii="宋体" w:hAnsi="宋体"/>
          <w:color w:val="auto"/>
          <w:sz w:val="24"/>
          <w:szCs w:val="24"/>
        </w:rPr>
        <w:t>3.甲方应在乙方按合同规定的时间将设备运达到甲方指定地点后积极组织相关人员对设备进行验收确认。</w:t>
      </w:r>
    </w:p>
    <w:p w14:paraId="03C88133">
      <w:pPr>
        <w:ind w:firstLine="240" w:firstLineChars="100"/>
        <w:rPr>
          <w:rFonts w:hint="eastAsia" w:ascii="宋体" w:hAnsi="宋体"/>
          <w:color w:val="auto"/>
          <w:sz w:val="24"/>
          <w:szCs w:val="24"/>
        </w:rPr>
      </w:pPr>
      <w:r>
        <w:rPr>
          <w:rFonts w:hint="eastAsia" w:ascii="宋体" w:hAnsi="宋体"/>
          <w:color w:val="auto"/>
          <w:sz w:val="24"/>
          <w:szCs w:val="24"/>
        </w:rPr>
        <w:t>4.甲方应按合同及时向乙方付清货款。乙方办理结算手续需按照甲方要求提供增值税发票及收货单、验收单等资料。</w:t>
      </w:r>
    </w:p>
    <w:p w14:paraId="2F674378">
      <w:pPr>
        <w:ind w:firstLine="240" w:firstLineChars="100"/>
        <w:rPr>
          <w:rFonts w:hint="eastAsia" w:ascii="宋体" w:hAnsi="宋体"/>
          <w:color w:val="auto"/>
          <w:sz w:val="24"/>
          <w:szCs w:val="24"/>
        </w:rPr>
      </w:pPr>
      <w:r>
        <w:rPr>
          <w:rFonts w:hint="eastAsia" w:ascii="宋体" w:hAnsi="宋体"/>
          <w:color w:val="auto"/>
          <w:sz w:val="24"/>
          <w:szCs w:val="24"/>
        </w:rPr>
        <w:t>5.除不可抗力因素外，如果乙方不能按照合同规定的时间交货和提供服务，应及时以书面形式将延迟的事实、可能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00E02CB1">
      <w:pPr>
        <w:ind w:firstLine="240" w:firstLineChars="100"/>
        <w:rPr>
          <w:rFonts w:hint="eastAsia" w:ascii="宋体" w:hAnsi="宋体"/>
          <w:color w:val="auto"/>
          <w:sz w:val="24"/>
          <w:szCs w:val="24"/>
        </w:rPr>
      </w:pPr>
      <w:r>
        <w:rPr>
          <w:rFonts w:hint="eastAsia" w:ascii="宋体" w:hAnsi="宋体"/>
          <w:color w:val="auto"/>
          <w:sz w:val="24"/>
          <w:szCs w:val="24"/>
        </w:rPr>
        <w:t>6.甲方有权知晓乙方单位出现的可能影响合同正常履行的情形，若此种情形造成乙方履约能力受到影响，甲方可中止合同，待此种不利影响消除。如乙方涉及违约诉讼、企业经营不善等。</w:t>
      </w:r>
    </w:p>
    <w:p w14:paraId="1CCFB2B8">
      <w:pPr>
        <w:ind w:firstLine="480" w:firstLineChars="200"/>
        <w:rPr>
          <w:rFonts w:hint="eastAsia" w:ascii="宋体" w:hAnsi="宋体"/>
          <w:color w:val="auto"/>
          <w:sz w:val="24"/>
          <w:szCs w:val="24"/>
        </w:rPr>
      </w:pPr>
      <w:r>
        <w:rPr>
          <w:rFonts w:hint="eastAsia" w:ascii="宋体" w:hAnsi="宋体"/>
          <w:color w:val="auto"/>
          <w:sz w:val="24"/>
          <w:szCs w:val="24"/>
        </w:rPr>
        <w:t>（二）乙方的权利和义务</w:t>
      </w:r>
    </w:p>
    <w:p w14:paraId="2D681738">
      <w:pPr>
        <w:ind w:firstLine="480" w:firstLineChars="200"/>
        <w:rPr>
          <w:rFonts w:hint="eastAsia" w:ascii="宋体" w:hAnsi="宋体"/>
          <w:color w:val="auto"/>
          <w:sz w:val="24"/>
          <w:szCs w:val="24"/>
        </w:rPr>
      </w:pPr>
      <w:r>
        <w:rPr>
          <w:rFonts w:hint="eastAsia" w:ascii="宋体" w:hAnsi="宋体"/>
          <w:color w:val="auto"/>
          <w:sz w:val="24"/>
          <w:szCs w:val="24"/>
        </w:rPr>
        <w:t>1.乙方应按投标响应文件向甲方按期提供全新可靠的设备。</w:t>
      </w:r>
    </w:p>
    <w:p w14:paraId="3CBF0EC8">
      <w:pPr>
        <w:ind w:firstLine="480" w:firstLineChars="200"/>
        <w:rPr>
          <w:rFonts w:hint="eastAsia" w:ascii="宋体" w:hAnsi="宋体"/>
          <w:color w:val="auto"/>
          <w:sz w:val="24"/>
          <w:szCs w:val="24"/>
        </w:rPr>
      </w:pPr>
      <w:r>
        <w:rPr>
          <w:rFonts w:hint="eastAsia" w:ascii="宋体" w:hAnsi="宋体"/>
          <w:color w:val="auto"/>
          <w:sz w:val="24"/>
          <w:szCs w:val="24"/>
        </w:rPr>
        <w:t>2.签订合同后，乙方应确认</w:t>
      </w:r>
      <w:r>
        <w:rPr>
          <w:rFonts w:hint="eastAsia" w:ascii="宋体" w:hAnsi="宋体"/>
          <w:color w:val="auto"/>
          <w:sz w:val="24"/>
          <w:szCs w:val="24"/>
          <w:u w:val="single"/>
        </w:rPr>
        <w:t>1</w:t>
      </w:r>
      <w:r>
        <w:rPr>
          <w:rFonts w:hint="eastAsia" w:ascii="宋体" w:hAnsi="宋体"/>
          <w:color w:val="auto"/>
          <w:sz w:val="24"/>
          <w:szCs w:val="24"/>
        </w:rPr>
        <w:t>名联络人作为供应商代表妥善履行本合同规定的运输、交付、验收、结算、支付和解决突发事件。</w:t>
      </w:r>
    </w:p>
    <w:p w14:paraId="7D41ADC0">
      <w:pPr>
        <w:ind w:firstLine="480" w:firstLineChars="200"/>
        <w:rPr>
          <w:rFonts w:hint="eastAsia" w:ascii="宋体" w:hAnsi="宋体"/>
          <w:color w:val="auto"/>
          <w:sz w:val="24"/>
          <w:szCs w:val="24"/>
        </w:rPr>
      </w:pPr>
      <w:r>
        <w:rPr>
          <w:rFonts w:hint="eastAsia" w:ascii="宋体" w:hAnsi="宋体"/>
          <w:color w:val="auto"/>
          <w:sz w:val="24"/>
          <w:szCs w:val="24"/>
        </w:rPr>
        <w:t>3.乙方应保证交付的货物符合国家、行业和投标响应文件规定的规格参数、产地、质量、数量等全部要求。</w:t>
      </w:r>
    </w:p>
    <w:p w14:paraId="48DAD84F">
      <w:pPr>
        <w:ind w:firstLine="240" w:firstLineChars="100"/>
        <w:rPr>
          <w:rFonts w:hint="eastAsia" w:ascii="宋体" w:hAnsi="宋体"/>
          <w:color w:val="auto"/>
          <w:sz w:val="24"/>
          <w:szCs w:val="24"/>
        </w:rPr>
      </w:pPr>
      <w:r>
        <w:rPr>
          <w:rFonts w:hint="eastAsia" w:ascii="宋体" w:hAnsi="宋体"/>
          <w:color w:val="auto"/>
          <w:sz w:val="24"/>
          <w:szCs w:val="24"/>
        </w:rPr>
        <w:t xml:space="preserve">  4.乙方应保证在合同约定的交货期，采用乙方选择的运输方式安全将货物运送至甲方指定地点，按照甲方要求摆放并安装调试完成。</w:t>
      </w:r>
    </w:p>
    <w:p w14:paraId="1FD28C48">
      <w:pPr>
        <w:ind w:firstLine="480" w:firstLineChars="200"/>
        <w:rPr>
          <w:rFonts w:hint="eastAsia" w:ascii="宋体" w:hAnsi="宋体"/>
          <w:color w:val="auto"/>
          <w:sz w:val="24"/>
          <w:szCs w:val="24"/>
        </w:rPr>
      </w:pPr>
      <w:r>
        <w:rPr>
          <w:rFonts w:hint="eastAsia" w:ascii="宋体" w:hAnsi="宋体"/>
          <w:color w:val="auto"/>
          <w:sz w:val="24"/>
          <w:szCs w:val="24"/>
        </w:rPr>
        <w:t>5.乙方有义务按甲方要求提交结算材料，包括验收单、增值税普通发票、收款账户等。</w:t>
      </w:r>
    </w:p>
    <w:p w14:paraId="2028AA02">
      <w:pPr>
        <w:ind w:firstLine="480" w:firstLineChars="200"/>
        <w:rPr>
          <w:rFonts w:hint="eastAsia" w:ascii="宋体" w:hAnsi="宋体"/>
          <w:color w:val="auto"/>
          <w:sz w:val="24"/>
          <w:szCs w:val="24"/>
        </w:rPr>
      </w:pPr>
      <w:r>
        <w:rPr>
          <w:rFonts w:hint="eastAsia" w:ascii="宋体" w:hAnsi="宋体"/>
          <w:color w:val="auto"/>
          <w:sz w:val="24"/>
          <w:szCs w:val="24"/>
        </w:rPr>
        <w:t>6.乙方应在履行本合同时及时告知甲方进展，便于双方高效合作。</w:t>
      </w:r>
    </w:p>
    <w:p w14:paraId="18D011F4">
      <w:pPr>
        <w:tabs>
          <w:tab w:val="left" w:pos="480"/>
        </w:tabs>
        <w:ind w:firstLine="472" w:firstLineChars="196"/>
        <w:rPr>
          <w:rFonts w:hint="eastAsia" w:ascii="宋体" w:hAnsi="宋体"/>
          <w:color w:val="auto"/>
          <w:sz w:val="24"/>
          <w:szCs w:val="24"/>
        </w:rPr>
      </w:pPr>
      <w:r>
        <w:rPr>
          <w:rFonts w:hint="eastAsia" w:ascii="宋体" w:hAnsi="宋体"/>
          <w:b/>
          <w:color w:val="auto"/>
          <w:sz w:val="24"/>
          <w:szCs w:val="24"/>
        </w:rPr>
        <w:t>五、交货条件：</w:t>
      </w:r>
    </w:p>
    <w:p w14:paraId="5580CC74">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（一）交货地点：甲方指定地点。</w:t>
      </w:r>
    </w:p>
    <w:p w14:paraId="18205B21">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（二）交货期：自合同签订之日起30日内交货</w:t>
      </w:r>
    </w:p>
    <w:p w14:paraId="7044D8BA">
      <w:pPr>
        <w:tabs>
          <w:tab w:val="left" w:pos="480"/>
        </w:tabs>
        <w:ind w:firstLine="472" w:firstLineChars="196"/>
        <w:rPr>
          <w:rFonts w:hint="eastAsia" w:ascii="宋体" w:hAnsi="宋体"/>
          <w:b/>
          <w:color w:val="auto"/>
          <w:sz w:val="24"/>
          <w:szCs w:val="24"/>
        </w:rPr>
      </w:pPr>
      <w:r>
        <w:rPr>
          <w:rFonts w:hint="eastAsia" w:ascii="宋体" w:hAnsi="宋体"/>
          <w:b/>
          <w:color w:val="auto"/>
          <w:sz w:val="24"/>
          <w:szCs w:val="24"/>
        </w:rPr>
        <w:t>六、运输</w:t>
      </w:r>
    </w:p>
    <w:p w14:paraId="0E7BE93D">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（一）运输由乙方负责，运杂费已包含在合同总价内，包括从货物供应地点所含的运输费、装卸费、仓储费、保险费等。</w:t>
      </w:r>
    </w:p>
    <w:p w14:paraId="33B6E238">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（二）运输方式由乙方自行选择，但必须保证按期交货。</w:t>
      </w:r>
    </w:p>
    <w:p w14:paraId="42FC1D78">
      <w:pPr>
        <w:tabs>
          <w:tab w:val="left" w:pos="480"/>
        </w:tabs>
        <w:ind w:firstLine="472" w:firstLineChars="196"/>
        <w:rPr>
          <w:rFonts w:hint="eastAsia" w:ascii="宋体" w:hAnsi="宋体"/>
          <w:b/>
          <w:color w:val="auto"/>
          <w:sz w:val="24"/>
          <w:szCs w:val="24"/>
        </w:rPr>
      </w:pPr>
      <w:r>
        <w:rPr>
          <w:rFonts w:hint="eastAsia" w:ascii="宋体" w:hAnsi="宋体"/>
          <w:b/>
          <w:color w:val="auto"/>
          <w:sz w:val="24"/>
          <w:szCs w:val="24"/>
        </w:rPr>
        <w:t>七、质量保证</w:t>
      </w:r>
    </w:p>
    <w:p w14:paraId="4E83B774">
      <w:pPr>
        <w:tabs>
          <w:tab w:val="left" w:pos="480"/>
        </w:tabs>
        <w:ind w:firstLine="470" w:firstLineChars="196"/>
        <w:rPr>
          <w:rFonts w:hint="eastAsia" w:ascii="宋体" w:hAnsi="宋体"/>
          <w:color w:val="auto"/>
          <w:sz w:val="24"/>
          <w:szCs w:val="24"/>
        </w:rPr>
      </w:pPr>
      <w:r>
        <w:rPr>
          <w:rFonts w:hint="eastAsia" w:ascii="宋体" w:hAnsi="宋体"/>
          <w:color w:val="auto"/>
          <w:sz w:val="24"/>
          <w:szCs w:val="24"/>
        </w:rPr>
        <w:t>乙方所供设备必须执行下列条款：</w:t>
      </w:r>
    </w:p>
    <w:p w14:paraId="6494B908">
      <w:pPr>
        <w:tabs>
          <w:tab w:val="left" w:pos="480"/>
        </w:tabs>
        <w:ind w:firstLine="470" w:firstLineChars="196"/>
        <w:rPr>
          <w:rFonts w:hint="eastAsia" w:ascii="宋体" w:hAnsi="宋体"/>
          <w:color w:val="auto"/>
          <w:sz w:val="24"/>
          <w:szCs w:val="24"/>
        </w:rPr>
      </w:pPr>
      <w:r>
        <w:rPr>
          <w:rFonts w:hint="eastAsia" w:ascii="宋体" w:hAnsi="宋体"/>
          <w:color w:val="auto"/>
          <w:sz w:val="24"/>
          <w:szCs w:val="24"/>
        </w:rPr>
        <w:t>（一）乙方所提供的货物必须符合国家现行有效标准（进口货物有中国进出口商检局认证标志），并为正规制造厂商生产的合格产品，因质量问题而发生的任何故障由乙方负责。</w:t>
      </w:r>
    </w:p>
    <w:p w14:paraId="5FB4F758">
      <w:pPr>
        <w:tabs>
          <w:tab w:val="left" w:pos="480"/>
        </w:tabs>
        <w:ind w:firstLine="470" w:firstLineChars="196"/>
        <w:rPr>
          <w:rFonts w:hint="eastAsia" w:ascii="宋体" w:hAnsi="宋体"/>
          <w:color w:val="auto"/>
          <w:sz w:val="24"/>
          <w:szCs w:val="24"/>
        </w:rPr>
      </w:pPr>
      <w:r>
        <w:rPr>
          <w:rFonts w:hint="eastAsia" w:ascii="宋体" w:hAnsi="宋体"/>
          <w:color w:val="auto"/>
          <w:sz w:val="24"/>
          <w:szCs w:val="24"/>
        </w:rPr>
        <w:t>（二）乙方承担交货前的全部风险、责任和费用。</w:t>
      </w:r>
    </w:p>
    <w:p w14:paraId="4B5B1C7E">
      <w:pPr>
        <w:tabs>
          <w:tab w:val="left" w:pos="480"/>
        </w:tabs>
        <w:ind w:firstLine="470" w:firstLineChars="196"/>
        <w:rPr>
          <w:rFonts w:hint="eastAsia" w:ascii="宋体" w:hAnsi="宋体"/>
          <w:color w:val="auto"/>
          <w:sz w:val="24"/>
          <w:szCs w:val="24"/>
        </w:rPr>
      </w:pPr>
      <w:r>
        <w:rPr>
          <w:rFonts w:hint="eastAsia" w:ascii="宋体" w:hAnsi="宋体"/>
          <w:color w:val="auto"/>
          <w:sz w:val="24"/>
          <w:szCs w:val="24"/>
        </w:rPr>
        <w:t>（三）在交货地点验收，如发现损坏、缺件等问题，由乙方负责。</w:t>
      </w:r>
    </w:p>
    <w:p w14:paraId="421F1E83">
      <w:pPr>
        <w:tabs>
          <w:tab w:val="left" w:pos="480"/>
        </w:tabs>
        <w:ind w:firstLine="470" w:firstLineChars="196"/>
        <w:rPr>
          <w:rFonts w:hint="eastAsia" w:ascii="宋体" w:hAnsi="宋体"/>
          <w:color w:val="auto"/>
          <w:sz w:val="24"/>
          <w:szCs w:val="24"/>
        </w:rPr>
      </w:pPr>
      <w:r>
        <w:rPr>
          <w:rFonts w:hint="eastAsia" w:ascii="宋体" w:hAnsi="宋体"/>
          <w:color w:val="auto"/>
          <w:sz w:val="24"/>
          <w:szCs w:val="24"/>
        </w:rPr>
        <w:t>（四）乙方在发运货物时需提供相应的技术文件，包括操作手册（使用说明）、装箱清单、产品合格证等。</w:t>
      </w:r>
    </w:p>
    <w:p w14:paraId="39979609">
      <w:pPr>
        <w:tabs>
          <w:tab w:val="left" w:pos="480"/>
        </w:tabs>
        <w:ind w:firstLine="470" w:firstLineChars="196"/>
        <w:rPr>
          <w:rFonts w:hint="eastAsia" w:ascii="宋体" w:hAnsi="宋体"/>
          <w:color w:val="auto"/>
          <w:sz w:val="24"/>
          <w:szCs w:val="24"/>
        </w:rPr>
      </w:pPr>
      <w:r>
        <w:rPr>
          <w:rFonts w:hint="eastAsia" w:ascii="宋体" w:hAnsi="宋体"/>
          <w:color w:val="auto"/>
          <w:sz w:val="24"/>
          <w:szCs w:val="24"/>
        </w:rPr>
        <w:t>（五）免费提供必要的技术支持，包括现场指导、集中授课、专项操作等。</w:t>
      </w:r>
    </w:p>
    <w:p w14:paraId="79C0AB4A">
      <w:pPr>
        <w:tabs>
          <w:tab w:val="left" w:pos="480"/>
        </w:tabs>
        <w:ind w:firstLine="470" w:firstLineChars="196"/>
        <w:rPr>
          <w:rFonts w:hint="eastAsia" w:ascii="宋体" w:hAnsi="宋体"/>
          <w:color w:val="auto"/>
          <w:sz w:val="24"/>
          <w:szCs w:val="24"/>
        </w:rPr>
      </w:pPr>
      <w:r>
        <w:rPr>
          <w:rFonts w:hint="eastAsia" w:ascii="宋体" w:hAnsi="宋体"/>
          <w:color w:val="auto"/>
          <w:sz w:val="24"/>
          <w:szCs w:val="24"/>
        </w:rPr>
        <w:t>（六）售后服务</w:t>
      </w:r>
    </w:p>
    <w:p w14:paraId="4AACF41C">
      <w:pPr>
        <w:tabs>
          <w:tab w:val="left" w:pos="480"/>
        </w:tabs>
        <w:ind w:firstLine="470" w:firstLineChars="196"/>
        <w:rPr>
          <w:rFonts w:hint="eastAsia" w:ascii="宋体" w:hAnsi="宋体"/>
          <w:color w:val="auto"/>
          <w:sz w:val="24"/>
          <w:szCs w:val="24"/>
        </w:rPr>
      </w:pPr>
      <w:r>
        <w:rPr>
          <w:rFonts w:hint="eastAsia" w:ascii="宋体" w:hAnsi="宋体"/>
          <w:color w:val="auto"/>
          <w:sz w:val="24"/>
          <w:szCs w:val="24"/>
        </w:rPr>
        <w:t>1.免费维修：中标设备</w:t>
      </w:r>
      <w:r>
        <w:rPr>
          <w:rFonts w:hint="eastAsia" w:ascii="宋体" w:hAnsi="宋体"/>
          <w:color w:val="auto"/>
          <w:sz w:val="24"/>
          <w:szCs w:val="24"/>
          <w:lang w:val="en-US" w:eastAsia="zh-CN"/>
        </w:rPr>
        <w:t>整机</w:t>
      </w:r>
      <w:r>
        <w:rPr>
          <w:rFonts w:hint="eastAsia" w:ascii="宋体" w:hAnsi="宋体"/>
          <w:color w:val="auto"/>
          <w:sz w:val="24"/>
          <w:szCs w:val="24"/>
        </w:rPr>
        <w:t>质保期为</w:t>
      </w:r>
      <w:r>
        <w:rPr>
          <w:rFonts w:hint="eastAsia" w:ascii="宋体" w:hAnsi="宋体"/>
          <w:color w:val="auto"/>
          <w:sz w:val="24"/>
          <w:szCs w:val="24"/>
          <w:lang w:val="en-US" w:eastAsia="zh-CN"/>
        </w:rPr>
        <w:t xml:space="preserve">  </w:t>
      </w:r>
      <w:r>
        <w:rPr>
          <w:rFonts w:hint="eastAsia" w:ascii="宋体" w:hAnsi="宋体"/>
          <w:color w:val="auto"/>
          <w:sz w:val="24"/>
          <w:szCs w:val="24"/>
        </w:rPr>
        <w:t>年</w:t>
      </w:r>
      <w:r>
        <w:rPr>
          <w:rFonts w:hint="eastAsia" w:ascii="宋体" w:hAnsi="宋体"/>
          <w:color w:val="auto"/>
          <w:sz w:val="24"/>
          <w:szCs w:val="24"/>
          <w:lang w:eastAsia="zh-CN"/>
        </w:rPr>
        <w:t>，</w:t>
      </w:r>
      <w:r>
        <w:rPr>
          <w:rFonts w:hint="eastAsia" w:ascii="宋体" w:hAnsi="宋体"/>
          <w:color w:val="auto"/>
          <w:sz w:val="24"/>
          <w:szCs w:val="24"/>
          <w:lang w:val="en-US" w:eastAsia="zh-CN"/>
        </w:rPr>
        <w:t>终身维护</w:t>
      </w:r>
      <w:r>
        <w:rPr>
          <w:rFonts w:hint="eastAsia" w:ascii="宋体" w:hAnsi="宋体"/>
          <w:color w:val="auto"/>
          <w:sz w:val="24"/>
          <w:szCs w:val="24"/>
        </w:rPr>
        <w:t>。乙方对所供产品保质期应按生产厂商的承诺执行(附生产厂家承诺)，非人为损坏的，应于24小时内到达买方处并提供免费维修或更换。所有中标设备安装、维修、配件、人工服务、差旅费、运</w:t>
      </w:r>
      <w:r>
        <w:rPr>
          <w:rFonts w:hint="eastAsia" w:ascii="宋体" w:hAnsi="宋体"/>
          <w:color w:val="auto"/>
          <w:sz w:val="24"/>
          <w:szCs w:val="24"/>
        </w:rPr>
        <w:t>输等均为免费。提供</w:t>
      </w:r>
      <w:r>
        <w:rPr>
          <w:rFonts w:hint="eastAsia" w:ascii="宋体" w:hAnsi="宋体"/>
          <w:color w:val="auto"/>
          <w:sz w:val="24"/>
          <w:szCs w:val="24"/>
          <w:lang w:val="en-US" w:eastAsia="zh-CN"/>
        </w:rPr>
        <w:t xml:space="preserve">  </w:t>
      </w:r>
      <w:r>
        <w:rPr>
          <w:rFonts w:hint="eastAsia" w:ascii="宋体" w:hAnsi="宋体"/>
          <w:color w:val="auto"/>
          <w:sz w:val="24"/>
          <w:szCs w:val="24"/>
        </w:rPr>
        <w:t>小时维修和技术支持，故障报修</w:t>
      </w:r>
      <w:r>
        <w:rPr>
          <w:rFonts w:hint="eastAsia" w:ascii="宋体" w:hAnsi="宋体"/>
          <w:color w:val="auto"/>
          <w:sz w:val="24"/>
          <w:szCs w:val="24"/>
          <w:lang w:val="en-US" w:eastAsia="zh-CN"/>
        </w:rPr>
        <w:t xml:space="preserve">  </w:t>
      </w:r>
      <w:r>
        <w:rPr>
          <w:rFonts w:hint="eastAsia" w:ascii="宋体" w:hAnsi="宋体"/>
          <w:color w:val="auto"/>
          <w:sz w:val="24"/>
          <w:szCs w:val="24"/>
        </w:rPr>
        <w:t>小时内响应，小故障</w:t>
      </w:r>
      <w:r>
        <w:rPr>
          <w:rFonts w:hint="eastAsia" w:ascii="宋体" w:hAnsi="宋体"/>
          <w:color w:val="auto"/>
          <w:sz w:val="24"/>
          <w:szCs w:val="24"/>
          <w:lang w:val="en-US" w:eastAsia="zh-CN"/>
        </w:rPr>
        <w:t xml:space="preserve">  </w:t>
      </w:r>
      <w:r>
        <w:rPr>
          <w:rFonts w:hint="eastAsia" w:ascii="宋体" w:hAnsi="宋体"/>
          <w:color w:val="auto"/>
          <w:sz w:val="24"/>
          <w:szCs w:val="24"/>
        </w:rPr>
        <w:t>小时内修复，大故障维修总时长</w:t>
      </w:r>
      <w:r>
        <w:rPr>
          <w:rFonts w:hint="eastAsia" w:ascii="宋体" w:hAnsi="宋体"/>
          <w:color w:val="auto"/>
          <w:sz w:val="24"/>
          <w:szCs w:val="24"/>
          <w:lang w:val="en-US" w:eastAsia="zh-CN"/>
        </w:rPr>
        <w:t xml:space="preserve">  </w:t>
      </w:r>
      <w:r>
        <w:rPr>
          <w:rFonts w:hint="eastAsia" w:ascii="宋体" w:hAnsi="宋体"/>
          <w:color w:val="auto"/>
          <w:sz w:val="24"/>
          <w:szCs w:val="24"/>
        </w:rPr>
        <w:t>天。</w:t>
      </w:r>
    </w:p>
    <w:p w14:paraId="74EE86AE">
      <w:pPr>
        <w:tabs>
          <w:tab w:val="left" w:pos="480"/>
        </w:tabs>
        <w:ind w:firstLine="470" w:firstLineChars="196"/>
        <w:rPr>
          <w:rFonts w:hint="eastAsia" w:ascii="宋体" w:hAnsi="宋体"/>
          <w:color w:val="auto"/>
          <w:sz w:val="24"/>
          <w:szCs w:val="24"/>
        </w:rPr>
      </w:pPr>
      <w:r>
        <w:rPr>
          <w:rFonts w:hint="eastAsia" w:ascii="宋体" w:hAnsi="宋体"/>
          <w:color w:val="auto"/>
          <w:sz w:val="24"/>
          <w:szCs w:val="24"/>
        </w:rPr>
        <w:t>2.维护校准和系统验证：每季度对设备及辅助设备进行免费维护、保养、并提维护保养报告。</w:t>
      </w:r>
    </w:p>
    <w:p w14:paraId="6DE7A8E9">
      <w:pPr>
        <w:tabs>
          <w:tab w:val="left" w:pos="480"/>
        </w:tabs>
        <w:ind w:firstLine="470" w:firstLineChars="196"/>
        <w:rPr>
          <w:rFonts w:hint="eastAsia" w:ascii="宋体" w:hAnsi="宋体"/>
          <w:color w:val="auto"/>
          <w:sz w:val="24"/>
          <w:szCs w:val="24"/>
        </w:rPr>
      </w:pPr>
      <w:r>
        <w:rPr>
          <w:rFonts w:hint="eastAsia" w:ascii="宋体" w:hAnsi="宋体"/>
          <w:color w:val="auto"/>
          <w:sz w:val="24"/>
          <w:szCs w:val="24"/>
        </w:rPr>
        <w:t>3.90天内，如出现质量问题将退货处理；90天以上如出现质量问题可换货处理。</w:t>
      </w:r>
    </w:p>
    <w:p w14:paraId="3F3A379C">
      <w:pPr>
        <w:tabs>
          <w:tab w:val="left" w:pos="480"/>
        </w:tabs>
        <w:ind w:firstLine="472" w:firstLineChars="196"/>
        <w:rPr>
          <w:rFonts w:hint="eastAsia" w:ascii="宋体" w:hAnsi="宋体"/>
          <w:b/>
          <w:color w:val="auto"/>
          <w:sz w:val="24"/>
          <w:szCs w:val="24"/>
        </w:rPr>
      </w:pPr>
      <w:r>
        <w:rPr>
          <w:rFonts w:hint="eastAsia" w:ascii="宋体" w:hAnsi="宋体"/>
          <w:b/>
          <w:color w:val="auto"/>
          <w:sz w:val="24"/>
          <w:szCs w:val="24"/>
        </w:rPr>
        <w:t>八、质量验收：</w:t>
      </w:r>
    </w:p>
    <w:p w14:paraId="4340F6E2">
      <w:pPr>
        <w:tabs>
          <w:tab w:val="left" w:pos="480"/>
        </w:tabs>
        <w:ind w:firstLine="470" w:firstLineChars="196"/>
        <w:rPr>
          <w:rFonts w:hint="eastAsia" w:ascii="宋体" w:hAnsi="宋体" w:eastAsia="宋体" w:cs="Times New Roman"/>
          <w:color w:val="auto"/>
          <w:sz w:val="24"/>
          <w:szCs w:val="24"/>
        </w:rPr>
      </w:pPr>
      <w:r>
        <w:rPr>
          <w:rFonts w:hint="eastAsia" w:ascii="宋体" w:hAnsi="宋体" w:eastAsia="宋体" w:cs="Times New Roman"/>
          <w:color w:val="auto"/>
          <w:sz w:val="24"/>
          <w:szCs w:val="24"/>
        </w:rPr>
        <w:t>（一）验收依据：招标文件、投标文件、澄清表（函）；本合同及附件文本；国家相应的标准、规范。</w:t>
      </w:r>
    </w:p>
    <w:p w14:paraId="35DC6B0E">
      <w:pPr>
        <w:tabs>
          <w:tab w:val="left" w:pos="480"/>
        </w:tabs>
        <w:ind w:firstLine="470" w:firstLineChars="196"/>
        <w:rPr>
          <w:rFonts w:hint="default" w:ascii="宋体" w:hAnsi="宋体" w:eastAsia="宋体" w:cs="Times New Roman"/>
          <w:color w:val="auto"/>
          <w:sz w:val="24"/>
          <w:szCs w:val="24"/>
          <w:lang w:val="en-US" w:eastAsia="zh-CN"/>
        </w:rPr>
      </w:pP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lang w:val="en-US" w:eastAsia="zh-CN"/>
        </w:rPr>
        <w:t>二</w:t>
      </w: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lang w:val="en-US" w:eastAsia="zh-CN"/>
        </w:rPr>
        <w:t>初步检验：</w:t>
      </w:r>
      <w:r>
        <w:rPr>
          <w:rFonts w:hint="eastAsia" w:ascii="宋体" w:hAnsi="宋体" w:eastAsia="宋体" w:cs="Times New Roman"/>
          <w:color w:val="auto"/>
          <w:sz w:val="24"/>
          <w:szCs w:val="24"/>
        </w:rPr>
        <w:t>甲方应在乙方按合同规定的时间将设备运达到甲方指定地点后5</w:t>
      </w:r>
      <w:r>
        <w:rPr>
          <w:rFonts w:hint="eastAsia" w:ascii="宋体" w:hAnsi="宋体" w:eastAsia="宋体" w:cs="Times New Roman"/>
          <w:color w:val="auto"/>
          <w:sz w:val="24"/>
          <w:szCs w:val="24"/>
          <w:lang w:val="en-US" w:eastAsia="zh-CN"/>
        </w:rPr>
        <w:t>个工作日</w:t>
      </w:r>
      <w:r>
        <w:rPr>
          <w:rFonts w:hint="eastAsia" w:ascii="宋体" w:hAnsi="宋体" w:eastAsia="宋体" w:cs="Times New Roman"/>
          <w:color w:val="auto"/>
          <w:sz w:val="24"/>
          <w:szCs w:val="24"/>
        </w:rPr>
        <w:t>内，根据本合同第一条的相关规定对设备及组成部件的种类、型号、数量、生产厂家、外观，包装进行初步检验。甲方初步检查设备进行查收过程中，发现有包装破损、设备被污染和损坏、设备的种类、数量、型号、生产厂家不符合合同规定等情况的，甲方有权拒收并要求乙方限期换货。</w:t>
      </w:r>
      <w:r>
        <w:rPr>
          <w:rFonts w:hint="eastAsia" w:ascii="宋体" w:hAnsi="宋体" w:eastAsia="宋体" w:cs="Times New Roman"/>
          <w:color w:val="auto"/>
          <w:sz w:val="24"/>
          <w:szCs w:val="24"/>
          <w:lang w:val="en-US" w:eastAsia="zh-CN"/>
        </w:rPr>
        <w:t>货物运送至交付地点时，乙方</w:t>
      </w:r>
      <w:r>
        <w:rPr>
          <w:rFonts w:hint="eastAsia" w:ascii="宋体" w:hAnsi="宋体" w:eastAsia="宋体" w:cs="Times New Roman"/>
          <w:color w:val="auto"/>
          <w:sz w:val="24"/>
          <w:szCs w:val="24"/>
        </w:rPr>
        <w:t>向</w:t>
      </w:r>
      <w:r>
        <w:rPr>
          <w:rFonts w:hint="eastAsia" w:ascii="宋体" w:hAnsi="宋体" w:eastAsia="宋体" w:cs="Times New Roman"/>
          <w:color w:val="auto"/>
          <w:sz w:val="24"/>
          <w:szCs w:val="24"/>
          <w:lang w:val="en-US" w:eastAsia="zh-CN"/>
        </w:rPr>
        <w:t>甲方</w:t>
      </w:r>
      <w:r>
        <w:rPr>
          <w:rFonts w:hint="eastAsia" w:ascii="宋体" w:hAnsi="宋体" w:eastAsia="宋体" w:cs="Times New Roman"/>
          <w:color w:val="auto"/>
          <w:sz w:val="24"/>
          <w:szCs w:val="24"/>
        </w:rPr>
        <w:t>提供产品</w:t>
      </w:r>
      <w:r>
        <w:rPr>
          <w:rFonts w:hint="eastAsia" w:ascii="宋体" w:hAnsi="宋体" w:eastAsia="宋体" w:cs="Times New Roman"/>
          <w:color w:val="auto"/>
          <w:sz w:val="24"/>
          <w:szCs w:val="24"/>
          <w:lang w:val="en-US" w:eastAsia="zh-CN"/>
        </w:rPr>
        <w:t>供货</w:t>
      </w:r>
      <w:r>
        <w:rPr>
          <w:rFonts w:hint="eastAsia" w:ascii="宋体" w:hAnsi="宋体" w:eastAsia="宋体" w:cs="Times New Roman"/>
          <w:color w:val="auto"/>
          <w:sz w:val="24"/>
          <w:szCs w:val="24"/>
        </w:rPr>
        <w:t>清单（注明品名、</w:t>
      </w:r>
      <w:r>
        <w:rPr>
          <w:rFonts w:hint="eastAsia" w:ascii="宋体" w:hAnsi="宋体" w:eastAsia="宋体" w:cs="Times New Roman"/>
          <w:color w:val="auto"/>
          <w:sz w:val="24"/>
          <w:szCs w:val="24"/>
          <w:lang w:val="en-US" w:eastAsia="zh-CN"/>
        </w:rPr>
        <w:t>型号、</w:t>
      </w:r>
      <w:r>
        <w:rPr>
          <w:rFonts w:hint="eastAsia" w:ascii="宋体" w:hAnsi="宋体" w:eastAsia="宋体" w:cs="Times New Roman"/>
          <w:color w:val="auto"/>
          <w:sz w:val="24"/>
          <w:szCs w:val="24"/>
        </w:rPr>
        <w:t>数量、生产厂家）以及产品使用过程中的所有资料，便于</w:t>
      </w:r>
      <w:r>
        <w:rPr>
          <w:rFonts w:hint="eastAsia" w:ascii="宋体" w:hAnsi="宋体" w:eastAsia="宋体" w:cs="Times New Roman"/>
          <w:color w:val="auto"/>
          <w:sz w:val="24"/>
          <w:szCs w:val="24"/>
          <w:lang w:val="en-US" w:eastAsia="zh-CN"/>
        </w:rPr>
        <w:t>甲方收货和</w:t>
      </w:r>
      <w:r>
        <w:rPr>
          <w:rFonts w:hint="eastAsia" w:ascii="宋体" w:hAnsi="宋体" w:eastAsia="宋体" w:cs="Times New Roman"/>
          <w:color w:val="auto"/>
          <w:sz w:val="24"/>
          <w:szCs w:val="24"/>
        </w:rPr>
        <w:t>验收。</w:t>
      </w:r>
      <w:r>
        <w:rPr>
          <w:rFonts w:hint="eastAsia" w:ascii="宋体" w:hAnsi="宋体" w:eastAsia="宋体" w:cs="Times New Roman"/>
          <w:color w:val="auto"/>
          <w:sz w:val="24"/>
          <w:szCs w:val="24"/>
          <w:lang w:val="en-US" w:eastAsia="zh-CN"/>
        </w:rPr>
        <w:t>初步验收合格的，甲方在产品供货清单中签字确认。</w:t>
      </w:r>
    </w:p>
    <w:p w14:paraId="3A823143">
      <w:pPr>
        <w:tabs>
          <w:tab w:val="left" w:pos="480"/>
        </w:tabs>
        <w:ind w:firstLine="470" w:firstLineChars="196"/>
        <w:rPr>
          <w:rFonts w:hint="eastAsia" w:ascii="宋体" w:hAnsi="宋体" w:eastAsia="宋体" w:cs="Times New Roman"/>
          <w:color w:val="auto"/>
          <w:sz w:val="24"/>
          <w:szCs w:val="24"/>
        </w:rPr>
      </w:pP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val="en-US" w:eastAsia="zh-CN"/>
        </w:rPr>
        <w:t>三</w:t>
      </w:r>
      <w:r>
        <w:rPr>
          <w:rFonts w:hint="eastAsia" w:ascii="宋体" w:hAnsi="宋体" w:eastAsia="宋体" w:cs="Times New Roman"/>
          <w:color w:val="auto"/>
          <w:sz w:val="24"/>
          <w:szCs w:val="24"/>
        </w:rPr>
        <w:t>）到货验收</w:t>
      </w: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rPr>
        <w:t>甲方应当在30个工作日内完成，确认合格后在验收单上签署“验收合格”字样，逾期验收视为验收合格。</w:t>
      </w:r>
    </w:p>
    <w:p w14:paraId="4170F212">
      <w:pPr>
        <w:tabs>
          <w:tab w:val="left" w:pos="480"/>
        </w:tabs>
        <w:ind w:firstLine="470" w:firstLineChars="196"/>
        <w:rPr>
          <w:rFonts w:hint="eastAsia" w:ascii="宋体" w:hAnsi="宋体" w:eastAsia="宋体" w:cs="Times New Roman"/>
          <w:color w:val="auto"/>
          <w:sz w:val="24"/>
          <w:szCs w:val="24"/>
        </w:rPr>
      </w:pPr>
      <w:r>
        <w:rPr>
          <w:rFonts w:hint="eastAsia" w:ascii="宋体" w:hAnsi="宋体" w:eastAsia="宋体" w:cs="Times New Roman"/>
          <w:color w:val="auto"/>
          <w:sz w:val="24"/>
          <w:szCs w:val="24"/>
        </w:rPr>
        <w:t>（</w:t>
      </w:r>
      <w:r>
        <w:rPr>
          <w:rFonts w:hint="eastAsia" w:ascii="宋体" w:hAnsi="宋体" w:eastAsia="宋体" w:cs="Times New Roman"/>
          <w:color w:val="auto"/>
          <w:sz w:val="24"/>
          <w:szCs w:val="24"/>
          <w:lang w:val="en-US" w:eastAsia="zh-CN"/>
        </w:rPr>
        <w:t>四</w:t>
      </w:r>
      <w:r>
        <w:rPr>
          <w:rFonts w:hint="eastAsia" w:ascii="宋体" w:hAnsi="宋体" w:eastAsia="宋体" w:cs="Times New Roman"/>
          <w:color w:val="auto"/>
          <w:sz w:val="24"/>
          <w:szCs w:val="24"/>
        </w:rPr>
        <w:t>）甲方在验收中发现货物质量不符合合同要求和验收标准或有异议时，应及时通知乙方，乙方应在接到通知后三天内给予答复，并负责处理，若需送法定质检部门检验，检验费用由乙方承担。如发现货物质量严重不符合质量要求的，买方可通知乙方停止供货，解除合同。</w:t>
      </w:r>
    </w:p>
    <w:p w14:paraId="2C34A6AC">
      <w:pPr>
        <w:tabs>
          <w:tab w:val="left" w:pos="480"/>
        </w:tabs>
        <w:ind w:firstLine="470" w:firstLineChars="196"/>
        <w:rPr>
          <w:rFonts w:hint="eastAsia" w:ascii="宋体" w:hAnsi="宋体" w:eastAsia="宋体" w:cs="Times New Roman"/>
          <w:color w:val="auto"/>
          <w:sz w:val="24"/>
          <w:szCs w:val="24"/>
        </w:rPr>
      </w:pP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lang w:val="en-US" w:eastAsia="zh-CN"/>
        </w:rPr>
        <w:t>五</w:t>
      </w:r>
      <w:r>
        <w:rPr>
          <w:rFonts w:hint="eastAsia" w:ascii="宋体" w:hAnsi="宋体" w:eastAsia="宋体" w:cs="Times New Roman"/>
          <w:color w:val="auto"/>
          <w:sz w:val="24"/>
          <w:szCs w:val="24"/>
          <w:lang w:eastAsia="zh-CN"/>
        </w:rPr>
        <w:t>）</w:t>
      </w:r>
      <w:r>
        <w:rPr>
          <w:rFonts w:hint="eastAsia" w:ascii="宋体" w:hAnsi="宋体" w:eastAsia="宋体" w:cs="Times New Roman"/>
          <w:color w:val="auto"/>
          <w:sz w:val="24"/>
          <w:szCs w:val="24"/>
        </w:rPr>
        <w:t>若发现供应商有弄虚作假的，在招标阶段故意或随意夸大产品技术性能，乙方应无条件退货，并赔偿甲方相应的损失。</w:t>
      </w:r>
    </w:p>
    <w:p w14:paraId="6E4E0CA8">
      <w:pPr>
        <w:tabs>
          <w:tab w:val="left" w:pos="480"/>
        </w:tabs>
        <w:ind w:firstLine="470" w:firstLineChars="196"/>
        <w:rPr>
          <w:rFonts w:hint="eastAsia" w:ascii="宋体" w:hAnsi="宋体"/>
          <w:color w:val="auto"/>
          <w:sz w:val="24"/>
          <w:szCs w:val="24"/>
        </w:rPr>
      </w:pPr>
      <w:r>
        <w:rPr>
          <w:rFonts w:hint="eastAsia" w:ascii="宋体" w:hAnsi="宋体" w:eastAsia="宋体" w:cs="Times New Roman"/>
          <w:color w:val="auto"/>
          <w:sz w:val="24"/>
          <w:szCs w:val="24"/>
          <w:lang w:val="en-US" w:eastAsia="zh-CN"/>
        </w:rPr>
        <w:t>（六）乙方向甲方提交的供货清单、验收单需加盖乙方鲜章，若无则甲方有权拒绝签字确认。</w:t>
      </w:r>
    </w:p>
    <w:p w14:paraId="45700EFC">
      <w:pPr>
        <w:tabs>
          <w:tab w:val="left" w:pos="480"/>
        </w:tabs>
        <w:ind w:firstLine="472" w:firstLineChars="196"/>
        <w:rPr>
          <w:rFonts w:hint="eastAsia" w:ascii="宋体" w:hAnsi="宋体"/>
          <w:b/>
          <w:color w:val="auto"/>
          <w:sz w:val="24"/>
          <w:szCs w:val="24"/>
        </w:rPr>
      </w:pPr>
      <w:r>
        <w:rPr>
          <w:rFonts w:hint="eastAsia" w:ascii="宋体" w:hAnsi="宋体"/>
          <w:b/>
          <w:color w:val="auto"/>
          <w:sz w:val="24"/>
          <w:szCs w:val="24"/>
        </w:rPr>
        <w:t>九、技术与服务</w:t>
      </w:r>
    </w:p>
    <w:p w14:paraId="652ACA4F">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（一）技术资料：</w:t>
      </w:r>
    </w:p>
    <w:p w14:paraId="65F691BE">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1、货物合格证；</w:t>
      </w:r>
    </w:p>
    <w:p w14:paraId="0762ED2B">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2、货物使用说明书（中文）；</w:t>
      </w:r>
    </w:p>
    <w:p w14:paraId="6CCF5653">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3、进口货物商检证明和报关单；</w:t>
      </w:r>
    </w:p>
    <w:p w14:paraId="42DC462F">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4、项目</w:t>
      </w:r>
      <w:r>
        <w:rPr>
          <w:rFonts w:hint="eastAsia" w:ascii="宋体" w:hAnsi="宋体"/>
          <w:color w:val="auto"/>
          <w:sz w:val="24"/>
          <w:szCs w:val="24"/>
          <w:lang w:eastAsia="zh-CN"/>
        </w:rPr>
        <w:t>竣工</w:t>
      </w:r>
      <w:r>
        <w:rPr>
          <w:rFonts w:hint="eastAsia" w:ascii="宋体" w:hAnsi="宋体"/>
          <w:color w:val="auto"/>
          <w:sz w:val="24"/>
          <w:szCs w:val="24"/>
        </w:rPr>
        <w:t>资料、检验测试报告；</w:t>
      </w:r>
    </w:p>
    <w:p w14:paraId="3DF7AA01">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5、其它资料。</w:t>
      </w:r>
    </w:p>
    <w:p w14:paraId="46542AEE">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（二）服务承诺：以谈判响应文件、澄清表（函）、合同和随货物的相关文件为准。</w:t>
      </w:r>
    </w:p>
    <w:p w14:paraId="5F025705">
      <w:pPr>
        <w:tabs>
          <w:tab w:val="left" w:pos="480"/>
        </w:tabs>
        <w:ind w:firstLine="472" w:firstLineChars="196"/>
        <w:rPr>
          <w:rFonts w:hint="eastAsia" w:ascii="宋体" w:hAnsi="宋体"/>
          <w:b/>
          <w:color w:val="auto"/>
          <w:sz w:val="24"/>
          <w:szCs w:val="24"/>
        </w:rPr>
      </w:pPr>
      <w:r>
        <w:rPr>
          <w:rFonts w:hint="eastAsia" w:ascii="宋体" w:hAnsi="宋体"/>
          <w:b/>
          <w:color w:val="auto"/>
          <w:sz w:val="24"/>
          <w:szCs w:val="24"/>
        </w:rPr>
        <w:t>十、违约责任</w:t>
      </w:r>
    </w:p>
    <w:p w14:paraId="21317D16">
      <w:pPr>
        <w:tabs>
          <w:tab w:val="left" w:pos="480"/>
        </w:tabs>
        <w:ind w:firstLine="470" w:firstLineChars="196"/>
        <w:rPr>
          <w:rFonts w:ascii="宋体" w:hAnsi="宋体"/>
          <w:color w:val="auto"/>
          <w:sz w:val="24"/>
          <w:szCs w:val="24"/>
        </w:rPr>
      </w:pPr>
      <w:r>
        <w:rPr>
          <w:rFonts w:hint="eastAsia" w:ascii="黑体" w:hAnsi="宋体" w:eastAsia="黑体"/>
          <w:color w:val="auto"/>
          <w:sz w:val="24"/>
          <w:szCs w:val="24"/>
        </w:rPr>
        <w:t>（一）乙方责任</w:t>
      </w:r>
      <w:r>
        <w:rPr>
          <w:rFonts w:ascii="宋体" w:hAnsi="宋体"/>
          <w:color w:val="auto"/>
          <w:sz w:val="24"/>
          <w:szCs w:val="24"/>
        </w:rPr>
        <w:t xml:space="preserve">  </w:t>
      </w:r>
    </w:p>
    <w:p w14:paraId="7AB826FF">
      <w:pPr>
        <w:tabs>
          <w:tab w:val="left" w:pos="480"/>
        </w:tabs>
        <w:ind w:firstLine="470" w:firstLineChars="196"/>
        <w:rPr>
          <w:rFonts w:ascii="宋体" w:hAnsi="宋体"/>
          <w:color w:val="auto"/>
          <w:sz w:val="24"/>
          <w:szCs w:val="24"/>
        </w:rPr>
      </w:pPr>
      <w:r>
        <w:rPr>
          <w:rFonts w:ascii="宋体" w:hAnsi="宋体"/>
          <w:color w:val="auto"/>
          <w:sz w:val="24"/>
          <w:szCs w:val="24"/>
        </w:rPr>
        <w:t>1</w:t>
      </w:r>
      <w:r>
        <w:rPr>
          <w:rFonts w:hint="eastAsia" w:ascii="宋体" w:hAnsi="宋体"/>
          <w:color w:val="auto"/>
          <w:sz w:val="24"/>
          <w:szCs w:val="24"/>
        </w:rPr>
        <w:t>.</w:t>
      </w:r>
      <w:r>
        <w:rPr>
          <w:rFonts w:ascii="宋体" w:hAnsi="宋体"/>
          <w:color w:val="auto"/>
          <w:sz w:val="24"/>
          <w:szCs w:val="24"/>
        </w:rPr>
        <w:t>乙方不履行合同或交付的</w:t>
      </w:r>
      <w:r>
        <w:rPr>
          <w:rFonts w:hint="eastAsia" w:ascii="宋体" w:hAnsi="宋体"/>
          <w:color w:val="auto"/>
          <w:sz w:val="24"/>
          <w:szCs w:val="24"/>
        </w:rPr>
        <w:t>设备</w:t>
      </w:r>
      <w:r>
        <w:rPr>
          <w:rFonts w:ascii="宋体" w:hAnsi="宋体"/>
          <w:color w:val="auto"/>
          <w:sz w:val="24"/>
          <w:szCs w:val="24"/>
        </w:rPr>
        <w:t>不符合合同要求的，甲方有权拒收不符合合同要求的</w:t>
      </w:r>
      <w:r>
        <w:rPr>
          <w:rFonts w:hint="eastAsia" w:ascii="宋体" w:hAnsi="宋体"/>
          <w:color w:val="auto"/>
          <w:sz w:val="24"/>
          <w:szCs w:val="24"/>
        </w:rPr>
        <w:t>设备</w:t>
      </w:r>
      <w:r>
        <w:rPr>
          <w:rFonts w:ascii="宋体" w:hAnsi="宋体"/>
          <w:color w:val="auto"/>
          <w:sz w:val="24"/>
          <w:szCs w:val="24"/>
        </w:rPr>
        <w:t>，乙方须向甲方支付拒收</w:t>
      </w:r>
      <w:r>
        <w:rPr>
          <w:rFonts w:hint="eastAsia" w:ascii="宋体" w:hAnsi="宋体"/>
          <w:color w:val="auto"/>
          <w:sz w:val="24"/>
          <w:szCs w:val="24"/>
        </w:rPr>
        <w:t>设备</w:t>
      </w:r>
      <w:r>
        <w:rPr>
          <w:rFonts w:ascii="宋体" w:hAnsi="宋体"/>
          <w:color w:val="auto"/>
          <w:sz w:val="24"/>
          <w:szCs w:val="24"/>
        </w:rPr>
        <w:t>价款总额10%的违约金。</w:t>
      </w:r>
    </w:p>
    <w:p w14:paraId="2102144B">
      <w:pPr>
        <w:tabs>
          <w:tab w:val="left" w:pos="480"/>
        </w:tabs>
        <w:ind w:firstLine="470" w:firstLineChars="196"/>
        <w:rPr>
          <w:rFonts w:ascii="宋体" w:hAnsi="宋体"/>
          <w:color w:val="auto"/>
          <w:sz w:val="24"/>
          <w:szCs w:val="24"/>
        </w:rPr>
      </w:pPr>
      <w:r>
        <w:rPr>
          <w:rFonts w:ascii="宋体" w:hAnsi="宋体"/>
          <w:color w:val="auto"/>
          <w:sz w:val="24"/>
          <w:szCs w:val="24"/>
        </w:rPr>
        <w:t>2</w:t>
      </w:r>
      <w:r>
        <w:rPr>
          <w:rFonts w:hint="eastAsia" w:ascii="宋体" w:hAnsi="宋体"/>
          <w:color w:val="auto"/>
          <w:sz w:val="24"/>
          <w:szCs w:val="24"/>
        </w:rPr>
        <w:t>.</w:t>
      </w:r>
      <w:r>
        <w:rPr>
          <w:rFonts w:ascii="宋体" w:hAnsi="宋体"/>
          <w:color w:val="auto"/>
          <w:sz w:val="24"/>
          <w:szCs w:val="24"/>
        </w:rPr>
        <w:t>货物质量不符合合同规定时，乙方负责包退包换。由于上述原因导致延误交货时间的，每延误一日，</w:t>
      </w:r>
      <w:r>
        <w:rPr>
          <w:rFonts w:hint="eastAsia" w:ascii="宋体" w:hAnsi="宋体"/>
          <w:color w:val="auto"/>
          <w:sz w:val="24"/>
          <w:szCs w:val="24"/>
        </w:rPr>
        <w:t>乙</w:t>
      </w:r>
      <w:r>
        <w:rPr>
          <w:rFonts w:ascii="宋体" w:hAnsi="宋体"/>
          <w:color w:val="auto"/>
          <w:sz w:val="24"/>
          <w:szCs w:val="24"/>
        </w:rPr>
        <w:t>方应按逾期交货部分货物价款总值的</w:t>
      </w:r>
      <w:r>
        <w:rPr>
          <w:rFonts w:hint="eastAsia" w:ascii="宋体" w:hAnsi="宋体"/>
          <w:color w:val="auto"/>
          <w:sz w:val="24"/>
          <w:szCs w:val="24"/>
          <w:lang w:val="en-US" w:eastAsia="zh-CN"/>
        </w:rPr>
        <w:t>日万分之五</w:t>
      </w:r>
      <w:r>
        <w:rPr>
          <w:rFonts w:ascii="宋体" w:hAnsi="宋体"/>
          <w:color w:val="auto"/>
          <w:sz w:val="24"/>
          <w:szCs w:val="24"/>
        </w:rPr>
        <w:t>向甲方偿付违约金。</w:t>
      </w:r>
    </w:p>
    <w:p w14:paraId="1292DC6E">
      <w:pPr>
        <w:tabs>
          <w:tab w:val="left" w:pos="480"/>
        </w:tabs>
        <w:ind w:firstLine="470" w:firstLineChars="196"/>
        <w:rPr>
          <w:rFonts w:ascii="宋体" w:hAnsi="宋体"/>
          <w:color w:val="auto"/>
          <w:sz w:val="24"/>
          <w:szCs w:val="24"/>
        </w:rPr>
      </w:pPr>
      <w:r>
        <w:rPr>
          <w:rFonts w:ascii="宋体" w:hAnsi="宋体"/>
          <w:color w:val="auto"/>
          <w:sz w:val="24"/>
          <w:szCs w:val="24"/>
        </w:rPr>
        <w:t>3</w:t>
      </w:r>
      <w:r>
        <w:rPr>
          <w:rFonts w:hint="eastAsia" w:ascii="宋体" w:hAnsi="宋体"/>
          <w:color w:val="auto"/>
          <w:sz w:val="24"/>
          <w:szCs w:val="24"/>
        </w:rPr>
        <w:t>.</w:t>
      </w:r>
      <w:r>
        <w:rPr>
          <w:rFonts w:ascii="宋体" w:hAnsi="宋体"/>
          <w:color w:val="auto"/>
          <w:sz w:val="24"/>
          <w:szCs w:val="24"/>
        </w:rPr>
        <w:t>乙方必须按合同规定的日期交货，每逾期一日，乙方必须向甲方支付逾期交货部分货物总额</w:t>
      </w:r>
      <w:r>
        <w:rPr>
          <w:rFonts w:hint="eastAsia" w:ascii="宋体" w:hAnsi="宋体"/>
          <w:color w:val="auto"/>
          <w:sz w:val="24"/>
          <w:szCs w:val="24"/>
          <w:lang w:val="en-US" w:eastAsia="zh-CN"/>
        </w:rPr>
        <w:t>日万分之五</w:t>
      </w:r>
      <w:r>
        <w:rPr>
          <w:rFonts w:ascii="宋体" w:hAnsi="宋体"/>
          <w:color w:val="auto"/>
          <w:sz w:val="24"/>
          <w:szCs w:val="24"/>
        </w:rPr>
        <w:t>的违约金。逾期交货超过30日，甲方有权解除合同，履约保证金</w:t>
      </w:r>
      <w:r>
        <w:rPr>
          <w:rFonts w:hint="eastAsia" w:ascii="宋体" w:hAnsi="宋体"/>
          <w:color w:val="auto"/>
          <w:sz w:val="24"/>
          <w:szCs w:val="24"/>
        </w:rPr>
        <w:t>（依据招标文件）</w:t>
      </w:r>
      <w:r>
        <w:rPr>
          <w:rFonts w:ascii="宋体" w:hAnsi="宋体"/>
          <w:color w:val="auto"/>
          <w:sz w:val="24"/>
          <w:szCs w:val="24"/>
        </w:rPr>
        <w:t>不予退还。</w:t>
      </w:r>
    </w:p>
    <w:p w14:paraId="784B03DB">
      <w:pPr>
        <w:tabs>
          <w:tab w:val="left" w:pos="480"/>
        </w:tabs>
        <w:ind w:firstLine="470" w:firstLineChars="196"/>
        <w:rPr>
          <w:rFonts w:hint="eastAsia" w:ascii="黑体" w:hAnsi="宋体" w:eastAsia="黑体"/>
          <w:color w:val="auto"/>
          <w:sz w:val="24"/>
          <w:szCs w:val="24"/>
        </w:rPr>
      </w:pPr>
      <w:r>
        <w:rPr>
          <w:rFonts w:hint="eastAsia" w:ascii="黑体" w:hAnsi="宋体" w:eastAsia="黑体"/>
          <w:color w:val="auto"/>
          <w:sz w:val="24"/>
          <w:szCs w:val="24"/>
        </w:rPr>
        <w:t>（二）甲方责任</w:t>
      </w:r>
    </w:p>
    <w:p w14:paraId="4EB4A955">
      <w:pPr>
        <w:tabs>
          <w:tab w:val="left" w:pos="480"/>
        </w:tabs>
        <w:ind w:firstLine="470" w:firstLineChars="196"/>
        <w:rPr>
          <w:rFonts w:hint="eastAsia" w:ascii="宋体" w:hAnsi="宋体"/>
          <w:b/>
          <w:color w:val="auto"/>
          <w:sz w:val="24"/>
          <w:szCs w:val="24"/>
        </w:rPr>
      </w:pPr>
      <w:r>
        <w:rPr>
          <w:rFonts w:ascii="宋体" w:hAnsi="宋体"/>
          <w:color w:val="auto"/>
          <w:sz w:val="24"/>
          <w:szCs w:val="24"/>
        </w:rPr>
        <w:t xml:space="preserve">甲方无正当理由，中途退货或拒绝收货，应向乙方支付退货部分货款总额10%的违约金，并承担因此造成的经济损失及运输费用。 </w:t>
      </w:r>
    </w:p>
    <w:p w14:paraId="0F7198A3">
      <w:pPr>
        <w:tabs>
          <w:tab w:val="left" w:pos="480"/>
        </w:tabs>
        <w:ind w:firstLine="482" w:firstLineChars="200"/>
        <w:rPr>
          <w:rFonts w:hint="eastAsia" w:ascii="宋体" w:hAnsi="宋体"/>
          <w:b/>
          <w:color w:val="auto"/>
          <w:sz w:val="24"/>
          <w:szCs w:val="24"/>
        </w:rPr>
      </w:pPr>
      <w:r>
        <w:rPr>
          <w:rFonts w:hint="eastAsia" w:ascii="宋体" w:hAnsi="宋体"/>
          <w:b/>
          <w:color w:val="auto"/>
          <w:sz w:val="24"/>
          <w:szCs w:val="24"/>
        </w:rPr>
        <w:t>十一、合同争议解决的方式</w:t>
      </w:r>
    </w:p>
    <w:p w14:paraId="59DF00EA">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1</w:t>
      </w:r>
      <w:r>
        <w:rPr>
          <w:rFonts w:hint="eastAsia" w:ascii="宋体" w:hAnsi="宋体"/>
          <w:color w:val="auto"/>
          <w:sz w:val="24"/>
          <w:szCs w:val="24"/>
          <w:lang w:eastAsia="zh-CN"/>
        </w:rPr>
        <w:t>.</w:t>
      </w:r>
      <w:r>
        <w:rPr>
          <w:rFonts w:hint="eastAsia" w:ascii="宋体" w:hAnsi="宋体"/>
          <w:color w:val="auto"/>
          <w:sz w:val="24"/>
          <w:szCs w:val="24"/>
        </w:rPr>
        <w:t>甲乙双方所有争议应先采取友好协商的解决方式。</w:t>
      </w:r>
    </w:p>
    <w:p w14:paraId="3C2F5274">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2</w:t>
      </w:r>
      <w:r>
        <w:rPr>
          <w:rFonts w:hint="eastAsia" w:ascii="宋体" w:hAnsi="宋体"/>
          <w:color w:val="auto"/>
          <w:sz w:val="24"/>
          <w:szCs w:val="24"/>
          <w:lang w:eastAsia="zh-CN"/>
        </w:rPr>
        <w:t>.</w:t>
      </w:r>
      <w:r>
        <w:rPr>
          <w:rFonts w:hint="eastAsia" w:ascii="宋体" w:hAnsi="宋体"/>
          <w:color w:val="auto"/>
          <w:sz w:val="24"/>
          <w:szCs w:val="24"/>
        </w:rPr>
        <w:t>协商未达成一致意见的，</w:t>
      </w:r>
      <w:r>
        <w:rPr>
          <w:rFonts w:hint="eastAsia" w:ascii="宋体" w:hAnsi="宋体"/>
          <w:color w:val="auto"/>
          <w:sz w:val="24"/>
          <w:szCs w:val="24"/>
          <w:lang w:val="en-US" w:eastAsia="zh-CN"/>
        </w:rPr>
        <w:t>任何一方可以向甲方所在地西安市雁塔区人民法院提起诉讼</w:t>
      </w:r>
      <w:r>
        <w:rPr>
          <w:rFonts w:hint="eastAsia" w:ascii="宋体" w:hAnsi="宋体"/>
          <w:color w:val="auto"/>
          <w:sz w:val="24"/>
          <w:szCs w:val="24"/>
        </w:rPr>
        <w:t>。</w:t>
      </w:r>
    </w:p>
    <w:p w14:paraId="3C8CA135">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3</w:t>
      </w:r>
      <w:r>
        <w:rPr>
          <w:rFonts w:hint="eastAsia" w:ascii="宋体" w:hAnsi="宋体"/>
          <w:color w:val="auto"/>
          <w:sz w:val="24"/>
          <w:szCs w:val="24"/>
          <w:lang w:eastAsia="zh-CN"/>
        </w:rPr>
        <w:t>.</w:t>
      </w:r>
      <w:r>
        <w:rPr>
          <w:rFonts w:hint="eastAsia" w:ascii="宋体" w:hAnsi="宋体"/>
          <w:color w:val="auto"/>
          <w:sz w:val="24"/>
          <w:szCs w:val="24"/>
        </w:rPr>
        <w:t>一方违约导致另一方采取法律途径维护合法权益的，违约方应承担守约方为维护权利而支出的</w:t>
      </w:r>
      <w:r>
        <w:rPr>
          <w:rFonts w:hint="eastAsia" w:ascii="宋体" w:hAnsi="宋体"/>
          <w:color w:val="auto"/>
          <w:sz w:val="24"/>
          <w:szCs w:val="24"/>
          <w:lang w:val="en-US" w:eastAsia="zh-CN"/>
        </w:rPr>
        <w:t>案件受理费</w:t>
      </w:r>
      <w:r>
        <w:rPr>
          <w:rFonts w:hint="eastAsia" w:ascii="宋体" w:hAnsi="宋体"/>
          <w:color w:val="auto"/>
          <w:sz w:val="24"/>
          <w:szCs w:val="24"/>
        </w:rPr>
        <w:t>、保全费、保全保险费、律师费、交通费等全部</w:t>
      </w:r>
      <w:r>
        <w:rPr>
          <w:rFonts w:hint="eastAsia" w:ascii="宋体" w:hAnsi="宋体"/>
          <w:color w:val="auto"/>
          <w:sz w:val="24"/>
          <w:szCs w:val="24"/>
          <w:lang w:val="en-US" w:eastAsia="zh-CN"/>
        </w:rPr>
        <w:t>诉讼</w:t>
      </w:r>
      <w:r>
        <w:rPr>
          <w:rFonts w:hint="eastAsia" w:ascii="宋体" w:hAnsi="宋体"/>
          <w:color w:val="auto"/>
          <w:sz w:val="24"/>
          <w:szCs w:val="24"/>
        </w:rPr>
        <w:t>费用。在</w:t>
      </w:r>
      <w:r>
        <w:rPr>
          <w:rFonts w:hint="eastAsia" w:ascii="宋体" w:hAnsi="宋体"/>
          <w:color w:val="auto"/>
          <w:sz w:val="24"/>
          <w:szCs w:val="24"/>
          <w:lang w:val="en-US" w:eastAsia="zh-CN"/>
        </w:rPr>
        <w:t>诉讼</w:t>
      </w:r>
      <w:r>
        <w:rPr>
          <w:rFonts w:hint="eastAsia" w:ascii="宋体" w:hAnsi="宋体"/>
          <w:color w:val="auto"/>
          <w:sz w:val="24"/>
          <w:szCs w:val="24"/>
        </w:rPr>
        <w:t>期间，除双方有争议的部分，合同其他部分应该继续履行。</w:t>
      </w:r>
    </w:p>
    <w:p w14:paraId="26AE0E38">
      <w:pPr>
        <w:tabs>
          <w:tab w:val="left" w:pos="480"/>
        </w:tabs>
        <w:ind w:firstLine="472" w:firstLineChars="196"/>
        <w:rPr>
          <w:rFonts w:hint="eastAsia" w:ascii="宋体" w:hAnsi="宋体"/>
          <w:b/>
          <w:color w:val="auto"/>
          <w:sz w:val="24"/>
          <w:szCs w:val="24"/>
        </w:rPr>
      </w:pPr>
      <w:r>
        <w:rPr>
          <w:rFonts w:hint="eastAsia" w:ascii="宋体" w:hAnsi="宋体"/>
          <w:b/>
          <w:color w:val="auto"/>
          <w:sz w:val="24"/>
          <w:szCs w:val="24"/>
        </w:rPr>
        <w:t>十二、合同生效</w:t>
      </w:r>
    </w:p>
    <w:p w14:paraId="4C4BFBA0">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本合同</w:t>
      </w:r>
      <w:r>
        <w:rPr>
          <w:rFonts w:hint="eastAsia" w:ascii="宋体" w:hAnsi="宋体"/>
          <w:color w:val="auto"/>
          <w:sz w:val="24"/>
          <w:szCs w:val="24"/>
        </w:rPr>
        <w:t>一</w:t>
      </w:r>
      <w:r>
        <w:rPr>
          <w:rFonts w:hint="eastAsia" w:ascii="宋体" w:hAnsi="宋体"/>
          <w:color w:val="auto"/>
          <w:sz w:val="24"/>
          <w:szCs w:val="24"/>
          <w:lang w:val="en-US" w:eastAsia="zh-CN"/>
        </w:rPr>
        <w:t>式柒</w:t>
      </w:r>
      <w:r>
        <w:rPr>
          <w:rFonts w:hint="eastAsia" w:ascii="宋体" w:hAnsi="宋体"/>
          <w:color w:val="auto"/>
          <w:sz w:val="24"/>
          <w:szCs w:val="24"/>
        </w:rPr>
        <w:t>份，甲方</w:t>
      </w:r>
      <w:r>
        <w:rPr>
          <w:rFonts w:hint="eastAsia" w:ascii="宋体" w:hAnsi="宋体"/>
          <w:color w:val="auto"/>
          <w:sz w:val="24"/>
          <w:szCs w:val="24"/>
          <w:lang w:val="en-US" w:eastAsia="zh-CN"/>
        </w:rPr>
        <w:t>肆</w:t>
      </w:r>
      <w:r>
        <w:rPr>
          <w:rFonts w:hint="eastAsia" w:ascii="宋体" w:hAnsi="宋体"/>
          <w:color w:val="auto"/>
          <w:sz w:val="24"/>
          <w:szCs w:val="24"/>
        </w:rPr>
        <w:t>份</w:t>
      </w:r>
      <w:r>
        <w:rPr>
          <w:rFonts w:hint="eastAsia" w:ascii="宋体" w:hAnsi="宋体"/>
          <w:color w:val="auto"/>
          <w:sz w:val="24"/>
          <w:szCs w:val="24"/>
        </w:rPr>
        <w:t>，乙方壹份，招标代理机构壹份，西安市财政局政府采购管理处备案壹份，本合同甲、乙方签字盖章后生效，合同执行完毕后，自动失效（合同的服务承诺则长期有效）。</w:t>
      </w:r>
    </w:p>
    <w:p w14:paraId="7F720035">
      <w:pPr>
        <w:tabs>
          <w:tab w:val="left" w:pos="480"/>
        </w:tabs>
        <w:ind w:firstLine="482" w:firstLineChars="200"/>
        <w:rPr>
          <w:rFonts w:hint="eastAsia" w:ascii="宋体" w:hAnsi="宋体"/>
          <w:b/>
          <w:color w:val="auto"/>
          <w:sz w:val="24"/>
          <w:szCs w:val="24"/>
        </w:rPr>
      </w:pPr>
      <w:r>
        <w:rPr>
          <w:rFonts w:hint="eastAsia" w:ascii="宋体" w:hAnsi="宋体"/>
          <w:b/>
          <w:color w:val="auto"/>
          <w:sz w:val="24"/>
          <w:szCs w:val="24"/>
        </w:rPr>
        <w:t>十三、合同组成</w:t>
      </w:r>
    </w:p>
    <w:p w14:paraId="4E581371">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招标文件、投标文件、澄清表（函）、中标通知书、合同附件均成为合同不可分割的部分。</w:t>
      </w:r>
      <w:r>
        <w:rPr>
          <w:rFonts w:hint="eastAsia" w:ascii="宋体" w:hAnsi="宋体"/>
          <w:color w:val="auto"/>
          <w:sz w:val="24"/>
          <w:szCs w:val="24"/>
          <w:lang w:val="en-US" w:eastAsia="zh-CN"/>
        </w:rPr>
        <w:t>采购合同条款和招标文件、采购文件、投标文件的内容不一致的，以采购合同内容为准。</w:t>
      </w:r>
    </w:p>
    <w:p w14:paraId="6C124FA5">
      <w:pPr>
        <w:tabs>
          <w:tab w:val="left" w:pos="480"/>
        </w:tabs>
        <w:ind w:firstLine="472" w:firstLineChars="196"/>
        <w:rPr>
          <w:rFonts w:hint="eastAsia" w:ascii="宋体" w:hAnsi="宋体"/>
          <w:b/>
          <w:color w:val="auto"/>
          <w:sz w:val="24"/>
          <w:szCs w:val="24"/>
        </w:rPr>
      </w:pPr>
      <w:r>
        <w:rPr>
          <w:rFonts w:hint="eastAsia" w:ascii="宋体" w:hAnsi="宋体"/>
          <w:b/>
          <w:color w:val="auto"/>
          <w:sz w:val="24"/>
          <w:szCs w:val="24"/>
        </w:rPr>
        <w:t>十四、其他事项</w:t>
      </w:r>
    </w:p>
    <w:p w14:paraId="37EC5273">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（一）西安市财政局政府采购管理处在合同的履行期间以及履行期后，可以随时检查项目的执行情况，对采购内容、标准进行调查核实，并对发现的问题进行处理。</w:t>
      </w:r>
    </w:p>
    <w:p w14:paraId="78BFA2DA">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（二）合同未尽事宜，由甲、乙双方协商，作为合同补充，与原合同具有同等法律效力。</w:t>
      </w:r>
    </w:p>
    <w:p w14:paraId="2A2A2C6D">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（三）合同一经签订，不得擅自变更、中止或终止合同。对确需变更、调整或中止、终止合同的，应按规定履行相应的手续。</w:t>
      </w:r>
    </w:p>
    <w:p w14:paraId="217CCB3F">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（四）本合同按照中华人民共和国的现行法律进行解释。</w:t>
      </w:r>
    </w:p>
    <w:p w14:paraId="0CE7C021">
      <w:pPr>
        <w:tabs>
          <w:tab w:val="left" w:pos="480"/>
        </w:tabs>
        <w:ind w:firstLine="480" w:firstLineChars="200"/>
        <w:rPr>
          <w:rFonts w:hint="eastAsia" w:ascii="宋体" w:hAnsi="宋体"/>
          <w:color w:val="auto"/>
          <w:sz w:val="24"/>
          <w:szCs w:val="24"/>
        </w:rPr>
      </w:pPr>
      <w:r>
        <w:rPr>
          <w:rFonts w:hint="eastAsia" w:ascii="宋体" w:hAnsi="宋体"/>
          <w:color w:val="auto"/>
          <w:sz w:val="24"/>
          <w:szCs w:val="24"/>
        </w:rPr>
        <w:t>以下无正文</w:t>
      </w:r>
    </w:p>
    <w:p w14:paraId="0B7DF10F">
      <w:pPr>
        <w:tabs>
          <w:tab w:val="left" w:pos="480"/>
        </w:tabs>
        <w:ind w:firstLine="480" w:firstLineChars="200"/>
        <w:rPr>
          <w:rFonts w:hint="eastAsia" w:ascii="宋体" w:hAnsi="宋体"/>
          <w:color w:val="auto"/>
          <w:sz w:val="24"/>
          <w:szCs w:val="24"/>
        </w:rPr>
      </w:pPr>
    </w:p>
    <w:p w14:paraId="0D29FCEE">
      <w:pPr>
        <w:tabs>
          <w:tab w:val="left" w:pos="480"/>
        </w:tabs>
        <w:rPr>
          <w:rFonts w:hint="eastAsia" w:ascii="宋体" w:hAnsi="宋体"/>
          <w:color w:val="auto"/>
          <w:szCs w:val="21"/>
        </w:rPr>
      </w:pPr>
    </w:p>
    <w:p w14:paraId="1076AF59">
      <w:pPr>
        <w:tabs>
          <w:tab w:val="left" w:pos="480"/>
        </w:tabs>
        <w:ind w:firstLine="440" w:firstLineChars="200"/>
        <w:rPr>
          <w:rFonts w:hint="eastAsia" w:ascii="宋体" w:hAnsi="宋体"/>
          <w:color w:val="auto"/>
          <w:sz w:val="22"/>
          <w:szCs w:val="22"/>
        </w:rPr>
      </w:pPr>
      <w:r>
        <w:rPr>
          <w:rFonts w:hint="eastAsia" w:ascii="宋体" w:hAnsi="宋体"/>
          <w:color w:val="auto"/>
          <w:sz w:val="22"/>
          <w:szCs w:val="22"/>
        </w:rPr>
        <w:t>甲  方（法人公章）                        乙  方（法人公章）</w:t>
      </w:r>
    </w:p>
    <w:p w14:paraId="373A8DB9">
      <w:pPr>
        <w:tabs>
          <w:tab w:val="left" w:pos="480"/>
        </w:tabs>
        <w:ind w:firstLine="440" w:firstLineChars="200"/>
        <w:rPr>
          <w:rFonts w:hint="eastAsia" w:ascii="宋体" w:hAnsi="宋体"/>
          <w:color w:val="auto"/>
          <w:sz w:val="22"/>
          <w:szCs w:val="22"/>
        </w:rPr>
      </w:pPr>
    </w:p>
    <w:p w14:paraId="69708CA8">
      <w:pPr>
        <w:tabs>
          <w:tab w:val="left" w:pos="480"/>
        </w:tabs>
        <w:ind w:firstLine="440" w:firstLineChars="200"/>
        <w:rPr>
          <w:rFonts w:hint="eastAsia" w:ascii="宋体" w:hAnsi="宋体"/>
          <w:color w:val="auto"/>
          <w:sz w:val="22"/>
          <w:szCs w:val="22"/>
        </w:rPr>
      </w:pPr>
      <w:r>
        <w:rPr>
          <w:rFonts w:hint="eastAsia" w:ascii="宋体" w:hAnsi="宋体"/>
          <w:color w:val="auto"/>
          <w:sz w:val="22"/>
          <w:szCs w:val="22"/>
        </w:rPr>
        <w:t>单位名称：西安市中心血站                  单位名称：</w:t>
      </w:r>
    </w:p>
    <w:p w14:paraId="0A616EA6">
      <w:pPr>
        <w:tabs>
          <w:tab w:val="left" w:pos="480"/>
        </w:tabs>
        <w:ind w:left="6140" w:leftChars="200" w:hanging="5720" w:hangingChars="2600"/>
        <w:rPr>
          <w:rFonts w:hint="eastAsia" w:ascii="宋体" w:hAnsi="宋体"/>
          <w:color w:val="auto"/>
          <w:sz w:val="22"/>
          <w:szCs w:val="22"/>
        </w:rPr>
      </w:pPr>
      <w:r>
        <w:rPr>
          <w:rFonts w:hint="eastAsia" w:ascii="宋体" w:hAnsi="宋体"/>
          <w:color w:val="auto"/>
          <w:sz w:val="22"/>
          <w:szCs w:val="22"/>
        </w:rPr>
        <w:t xml:space="preserve">地  址：西安市朱雀大街407号              地  址： </w:t>
      </w:r>
    </w:p>
    <w:p w14:paraId="4E02C5DF">
      <w:pPr>
        <w:tabs>
          <w:tab w:val="left" w:pos="480"/>
        </w:tabs>
        <w:ind w:firstLine="440" w:firstLineChars="200"/>
        <w:rPr>
          <w:rFonts w:hint="eastAsia" w:ascii="宋体" w:hAnsi="宋体"/>
          <w:color w:val="auto"/>
          <w:sz w:val="22"/>
          <w:szCs w:val="22"/>
        </w:rPr>
      </w:pPr>
      <w:r>
        <w:rPr>
          <w:rFonts w:hint="eastAsia" w:ascii="宋体" w:hAnsi="宋体"/>
          <w:color w:val="auto"/>
          <w:sz w:val="22"/>
          <w:szCs w:val="22"/>
        </w:rPr>
        <w:t>法定代表人：（签字）                         法定代表人：（签字）</w:t>
      </w:r>
    </w:p>
    <w:p w14:paraId="0AF0507F">
      <w:pPr>
        <w:tabs>
          <w:tab w:val="left" w:pos="480"/>
        </w:tabs>
        <w:ind w:firstLine="440" w:firstLineChars="200"/>
        <w:rPr>
          <w:rFonts w:hint="eastAsia" w:ascii="宋体" w:hAnsi="宋体"/>
          <w:color w:val="auto"/>
          <w:sz w:val="22"/>
          <w:szCs w:val="22"/>
        </w:rPr>
      </w:pPr>
      <w:r>
        <w:rPr>
          <w:rFonts w:hint="eastAsia" w:ascii="宋体" w:hAnsi="宋体"/>
          <w:color w:val="auto"/>
          <w:sz w:val="22"/>
          <w:szCs w:val="22"/>
        </w:rPr>
        <w:t>代理人：（签字）                             代理人：（签字）</w:t>
      </w:r>
    </w:p>
    <w:p w14:paraId="27531BFD">
      <w:pPr>
        <w:tabs>
          <w:tab w:val="left" w:pos="480"/>
        </w:tabs>
        <w:ind w:left="6360" w:leftChars="200" w:hanging="5940" w:hangingChars="2700"/>
        <w:rPr>
          <w:rFonts w:hint="eastAsia" w:ascii="宋体" w:hAnsi="宋体"/>
          <w:color w:val="auto"/>
          <w:sz w:val="22"/>
          <w:szCs w:val="22"/>
        </w:rPr>
      </w:pPr>
      <w:r>
        <w:rPr>
          <w:rFonts w:hint="eastAsia" w:ascii="宋体" w:hAnsi="宋体"/>
          <w:color w:val="auto"/>
          <w:sz w:val="22"/>
          <w:szCs w:val="22"/>
        </w:rPr>
        <w:t xml:space="preserve">联系电话： </w:t>
      </w:r>
      <w:r>
        <w:rPr>
          <w:rFonts w:hint="eastAsia" w:ascii="宋体" w:hAnsi="宋体"/>
          <w:color w:val="auto"/>
          <w:sz w:val="22"/>
          <w:szCs w:val="22"/>
          <w:lang w:val="en-US" w:eastAsia="zh-CN"/>
        </w:rPr>
        <w:t xml:space="preserve">                                 </w:t>
      </w:r>
      <w:r>
        <w:rPr>
          <w:rFonts w:hint="eastAsia" w:ascii="宋体" w:hAnsi="宋体"/>
          <w:color w:val="auto"/>
          <w:sz w:val="22"/>
          <w:szCs w:val="22"/>
        </w:rPr>
        <w:t>开户银行：</w:t>
      </w:r>
    </w:p>
    <w:p w14:paraId="7A23FE70">
      <w:pPr>
        <w:tabs>
          <w:tab w:val="left" w:pos="480"/>
        </w:tabs>
        <w:ind w:firstLine="5280" w:firstLineChars="2400"/>
        <w:rPr>
          <w:rFonts w:hint="eastAsia" w:ascii="宋体" w:hAnsi="宋体"/>
          <w:color w:val="auto"/>
          <w:sz w:val="22"/>
          <w:szCs w:val="22"/>
        </w:rPr>
      </w:pPr>
      <w:r>
        <w:rPr>
          <w:rFonts w:hint="eastAsia" w:ascii="宋体" w:hAnsi="宋体"/>
          <w:color w:val="auto"/>
          <w:sz w:val="22"/>
          <w:szCs w:val="22"/>
        </w:rPr>
        <w:t xml:space="preserve">帐  号： </w:t>
      </w:r>
    </w:p>
    <w:p w14:paraId="3CD61369">
      <w:pPr>
        <w:tabs>
          <w:tab w:val="left" w:pos="480"/>
        </w:tabs>
        <w:ind w:firstLine="5280" w:firstLineChars="2400"/>
        <w:rPr>
          <w:rFonts w:hint="eastAsia" w:ascii="宋体" w:hAnsi="宋体"/>
          <w:color w:val="auto"/>
          <w:sz w:val="22"/>
          <w:szCs w:val="22"/>
        </w:rPr>
      </w:pPr>
      <w:r>
        <w:rPr>
          <w:rFonts w:hint="eastAsia" w:ascii="宋体" w:hAnsi="宋体"/>
          <w:color w:val="auto"/>
          <w:sz w:val="22"/>
          <w:szCs w:val="22"/>
        </w:rPr>
        <w:t xml:space="preserve">联系电话： </w:t>
      </w:r>
    </w:p>
    <w:p w14:paraId="4E39F9AC">
      <w:pPr>
        <w:tabs>
          <w:tab w:val="left" w:pos="480"/>
        </w:tabs>
        <w:ind w:firstLine="440" w:firstLineChars="200"/>
        <w:rPr>
          <w:rFonts w:hint="eastAsia" w:ascii="仿宋_GB2312" w:hAnsi="仿宋_GB2312" w:eastAsia="仿宋_GB2312" w:cs="仿宋_GB2312"/>
          <w:color w:val="auto"/>
          <w:sz w:val="32"/>
          <w:szCs w:val="32"/>
          <w:lang w:eastAsia="zh-CN"/>
        </w:rPr>
      </w:pPr>
      <w:r>
        <w:rPr>
          <w:rFonts w:hint="eastAsia" w:ascii="宋体" w:hAnsi="宋体"/>
          <w:color w:val="auto"/>
          <w:sz w:val="22"/>
          <w:szCs w:val="22"/>
        </w:rPr>
        <w:t>签订日期：202</w:t>
      </w:r>
      <w:r>
        <w:rPr>
          <w:rFonts w:hint="eastAsia" w:ascii="宋体" w:hAnsi="宋体"/>
          <w:color w:val="auto"/>
          <w:sz w:val="22"/>
          <w:szCs w:val="22"/>
          <w:lang w:val="en-US" w:eastAsia="zh-CN"/>
        </w:rPr>
        <w:t>5</w:t>
      </w:r>
      <w:r>
        <w:rPr>
          <w:rFonts w:hint="eastAsia" w:ascii="宋体" w:hAnsi="宋体"/>
          <w:color w:val="auto"/>
          <w:sz w:val="22"/>
          <w:szCs w:val="22"/>
        </w:rPr>
        <w:t xml:space="preserve">年  月   日                 </w:t>
      </w:r>
      <w:r>
        <w:rPr>
          <w:rFonts w:hint="eastAsia" w:ascii="宋体" w:hAnsi="宋体"/>
          <w:color w:val="auto"/>
          <w:sz w:val="22"/>
          <w:szCs w:val="22"/>
          <w:lang w:val="en-US" w:eastAsia="zh-CN"/>
        </w:rPr>
        <w:t xml:space="preserve">  </w:t>
      </w:r>
      <w:r>
        <w:rPr>
          <w:rFonts w:hint="eastAsia" w:ascii="宋体" w:hAnsi="宋体"/>
          <w:color w:val="auto"/>
          <w:sz w:val="22"/>
          <w:szCs w:val="22"/>
        </w:rPr>
        <w:t>签订日期：202</w:t>
      </w:r>
      <w:r>
        <w:rPr>
          <w:rFonts w:hint="eastAsia" w:ascii="宋体" w:hAnsi="宋体"/>
          <w:color w:val="auto"/>
          <w:sz w:val="22"/>
          <w:szCs w:val="22"/>
          <w:lang w:val="en-US" w:eastAsia="zh-CN"/>
        </w:rPr>
        <w:t>5</w:t>
      </w:r>
      <w:r>
        <w:rPr>
          <w:rFonts w:hint="eastAsia" w:ascii="宋体" w:hAnsi="宋体"/>
          <w:color w:val="auto"/>
          <w:sz w:val="22"/>
          <w:szCs w:val="22"/>
        </w:rPr>
        <w:t>年 月  日</w:t>
      </w:r>
      <w:bookmarkStart w:id="0" w:name="_Toc23780"/>
    </w:p>
    <w:p w14:paraId="32F01AFA">
      <w:pPr>
        <w:rPr>
          <w:rFonts w:hint="eastAsia"/>
          <w:color w:val="auto"/>
          <w:lang w:eastAsia="zh-CN"/>
        </w:rPr>
      </w:pPr>
    </w:p>
    <w:p w14:paraId="6AF3EEBD">
      <w:pPr>
        <w:rPr>
          <w:rFonts w:hint="eastAsia"/>
          <w:color w:val="auto"/>
          <w:lang w:eastAsia="zh-CN"/>
        </w:rPr>
      </w:pPr>
    </w:p>
    <w:p w14:paraId="06D58755">
      <w:pPr>
        <w:rPr>
          <w:rFonts w:hint="eastAsia"/>
          <w:color w:val="auto"/>
          <w:lang w:eastAsia="zh-CN"/>
        </w:rPr>
      </w:pPr>
    </w:p>
    <w:p w14:paraId="5B8F61A6">
      <w:pPr>
        <w:rPr>
          <w:rFonts w:hint="eastAsia"/>
          <w:color w:val="auto"/>
          <w:lang w:eastAsia="zh-CN"/>
        </w:rPr>
      </w:pPr>
    </w:p>
    <w:p w14:paraId="76C53660">
      <w:pPr>
        <w:rPr>
          <w:rFonts w:hint="eastAsia"/>
          <w:color w:val="auto"/>
          <w:lang w:eastAsia="zh-CN"/>
        </w:rPr>
      </w:pPr>
    </w:p>
    <w:p w14:paraId="2D2F55FE">
      <w:pPr>
        <w:pStyle w:val="3"/>
        <w:ind w:firstLine="0" w:firstLineChars="0"/>
        <w:jc w:val="both"/>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eastAsia="zh-CN"/>
        </w:rPr>
        <w:t>附件</w:t>
      </w:r>
      <w:r>
        <w:rPr>
          <w:rFonts w:hint="eastAsia" w:asciiTheme="minorEastAsia" w:hAnsiTheme="minorEastAsia" w:eastAsiaTheme="minorEastAsia" w:cstheme="minorEastAsia"/>
          <w:color w:val="auto"/>
          <w:sz w:val="28"/>
          <w:szCs w:val="28"/>
          <w:lang w:val="en-US" w:eastAsia="zh-CN"/>
        </w:rPr>
        <w:t>1</w:t>
      </w:r>
    </w:p>
    <w:p w14:paraId="1DFAED07">
      <w:pPr>
        <w:pStyle w:val="3"/>
        <w:ind w:firstLine="0" w:firstLineChars="0"/>
        <w:jc w:val="center"/>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eastAsia="zh-CN"/>
        </w:rPr>
        <w:t>投标分项报价表</w:t>
      </w:r>
      <w:bookmarkEnd w:id="0"/>
    </w:p>
    <w:p w14:paraId="0987C1A1">
      <w:pPr>
        <w:autoSpaceDE w:val="0"/>
        <w:autoSpaceDN w:val="0"/>
        <w:adjustRightInd w:val="0"/>
        <w:snapToGrid w:val="0"/>
        <w:spacing w:line="360" w:lineRule="auto"/>
        <w:ind w:right="480" w:firstLine="110" w:firstLineChars="50"/>
        <w:jc w:val="right"/>
        <w:rPr>
          <w:rFonts w:hint="eastAsia" w:asciiTheme="minorEastAsia" w:hAnsiTheme="minorEastAsia" w:eastAsiaTheme="minorEastAsia" w:cstheme="minorEastAsia"/>
          <w:b/>
          <w:bCs/>
          <w:color w:val="auto"/>
          <w:sz w:val="22"/>
          <w:szCs w:val="21"/>
        </w:rPr>
      </w:pPr>
      <w:r>
        <w:rPr>
          <w:rFonts w:hint="eastAsia" w:asciiTheme="minorEastAsia" w:hAnsiTheme="minorEastAsia" w:eastAsiaTheme="minorEastAsia" w:cstheme="minorEastAsia"/>
          <w:color w:val="auto"/>
          <w:sz w:val="22"/>
          <w:szCs w:val="21"/>
        </w:rPr>
        <w:t xml:space="preserve">                </w:t>
      </w:r>
      <w:r>
        <w:rPr>
          <w:rFonts w:hint="eastAsia" w:asciiTheme="minorEastAsia" w:hAnsiTheme="minorEastAsia" w:eastAsiaTheme="minorEastAsia" w:cstheme="minorEastAsia"/>
          <w:color w:val="auto"/>
          <w:sz w:val="22"/>
          <w:szCs w:val="21"/>
        </w:rPr>
        <w:t xml:space="preserve">单位：人民币元 </w:t>
      </w:r>
    </w:p>
    <w:tbl>
      <w:tblPr>
        <w:tblStyle w:val="7"/>
        <w:tblW w:w="10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260"/>
        <w:gridCol w:w="1050"/>
        <w:gridCol w:w="1860"/>
        <w:gridCol w:w="1275"/>
        <w:gridCol w:w="1605"/>
        <w:gridCol w:w="885"/>
        <w:gridCol w:w="825"/>
        <w:gridCol w:w="935"/>
      </w:tblGrid>
      <w:tr w14:paraId="1A6B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61" w:type="dxa"/>
            <w:noWrap w:val="0"/>
            <w:vAlign w:val="center"/>
          </w:tcPr>
          <w:p w14:paraId="59B9DB1A">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1260" w:type="dxa"/>
            <w:noWrap w:val="0"/>
            <w:vAlign w:val="center"/>
          </w:tcPr>
          <w:p w14:paraId="7199F371">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货物</w:t>
            </w:r>
          </w:p>
          <w:p w14:paraId="248C4CEE">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名称</w:t>
            </w:r>
          </w:p>
        </w:tc>
        <w:tc>
          <w:tcPr>
            <w:tcW w:w="1050" w:type="dxa"/>
            <w:noWrap w:val="0"/>
            <w:vAlign w:val="center"/>
          </w:tcPr>
          <w:p w14:paraId="10BCCDBE">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品牌</w:t>
            </w:r>
          </w:p>
        </w:tc>
        <w:tc>
          <w:tcPr>
            <w:tcW w:w="1860" w:type="dxa"/>
            <w:noWrap w:val="0"/>
            <w:vAlign w:val="center"/>
          </w:tcPr>
          <w:p w14:paraId="4D98FCCC">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生产</w:t>
            </w:r>
          </w:p>
          <w:p w14:paraId="35910D1E">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厂家</w:t>
            </w:r>
          </w:p>
        </w:tc>
        <w:tc>
          <w:tcPr>
            <w:tcW w:w="1275" w:type="dxa"/>
            <w:noWrap w:val="0"/>
            <w:vAlign w:val="center"/>
          </w:tcPr>
          <w:p w14:paraId="4D6ED64D">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规格</w:t>
            </w:r>
          </w:p>
          <w:p w14:paraId="78D81914">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型号</w:t>
            </w:r>
          </w:p>
        </w:tc>
        <w:tc>
          <w:tcPr>
            <w:tcW w:w="1605" w:type="dxa"/>
            <w:noWrap w:val="0"/>
            <w:vAlign w:val="center"/>
          </w:tcPr>
          <w:p w14:paraId="4FC7E414">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单价</w:t>
            </w:r>
          </w:p>
        </w:tc>
        <w:tc>
          <w:tcPr>
            <w:tcW w:w="885" w:type="dxa"/>
            <w:noWrap w:val="0"/>
            <w:vAlign w:val="center"/>
          </w:tcPr>
          <w:p w14:paraId="4E736A3B">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数量</w:t>
            </w:r>
          </w:p>
        </w:tc>
        <w:tc>
          <w:tcPr>
            <w:tcW w:w="825" w:type="dxa"/>
            <w:noWrap w:val="0"/>
            <w:vAlign w:val="center"/>
          </w:tcPr>
          <w:p w14:paraId="1410B41A">
            <w:pPr>
              <w:adjustRightInd w:val="0"/>
              <w:snapToGrid w:val="0"/>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合计</w:t>
            </w:r>
          </w:p>
        </w:tc>
        <w:tc>
          <w:tcPr>
            <w:tcW w:w="935" w:type="dxa"/>
            <w:noWrap w:val="0"/>
            <w:vAlign w:val="center"/>
          </w:tcPr>
          <w:p w14:paraId="3215A583">
            <w:pPr>
              <w:pStyle w:val="4"/>
              <w:spacing w:line="480" w:lineRule="auto"/>
              <w:ind w:firstLine="0" w:firstLineChars="0"/>
              <w:jc w:val="both"/>
              <w:rPr>
                <w:rFonts w:hint="eastAsia" w:asciiTheme="minorEastAsia" w:hAnsiTheme="minorEastAsia" w:eastAsiaTheme="minorEastAsia" w:cstheme="minorEastAsia"/>
                <w:color w:val="auto"/>
                <w:sz w:val="24"/>
                <w:szCs w:val="22"/>
              </w:rPr>
            </w:pPr>
            <w:r>
              <w:rPr>
                <w:rFonts w:hint="eastAsia" w:asciiTheme="minorEastAsia" w:hAnsiTheme="minorEastAsia" w:eastAsiaTheme="minorEastAsia" w:cstheme="minorEastAsia"/>
                <w:color w:val="auto"/>
                <w:sz w:val="24"/>
                <w:szCs w:val="22"/>
              </w:rPr>
              <w:t>备注</w:t>
            </w:r>
          </w:p>
        </w:tc>
      </w:tr>
      <w:tr w14:paraId="62019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561" w:type="dxa"/>
            <w:noWrap w:val="0"/>
            <w:vAlign w:val="center"/>
          </w:tcPr>
          <w:p w14:paraId="206AA30F">
            <w:pPr>
              <w:adjustRightInd w:val="0"/>
              <w:snapToGrid w:val="0"/>
              <w:jc w:val="center"/>
              <w:rPr>
                <w:rFonts w:hint="eastAsia" w:asciiTheme="minorEastAsia" w:hAnsiTheme="minorEastAsia" w:eastAsiaTheme="minorEastAsia" w:cstheme="minorEastAsia"/>
                <w:color w:val="auto"/>
                <w:sz w:val="24"/>
                <w:szCs w:val="22"/>
                <w:lang w:val="en-US" w:eastAsia="zh-CN"/>
              </w:rPr>
            </w:pPr>
            <w:r>
              <w:rPr>
                <w:rFonts w:hint="eastAsia" w:asciiTheme="minorEastAsia" w:hAnsiTheme="minorEastAsia" w:eastAsiaTheme="minorEastAsia" w:cstheme="minorEastAsia"/>
                <w:color w:val="auto"/>
                <w:sz w:val="24"/>
                <w:szCs w:val="22"/>
                <w:lang w:val="en-US" w:eastAsia="zh-CN"/>
              </w:rPr>
              <w:t>1</w:t>
            </w:r>
          </w:p>
        </w:tc>
        <w:tc>
          <w:tcPr>
            <w:tcW w:w="1260" w:type="dxa"/>
            <w:noWrap w:val="0"/>
            <w:vAlign w:val="center"/>
          </w:tcPr>
          <w:p w14:paraId="3410260B">
            <w:pPr>
              <w:adjustRightInd w:val="0"/>
              <w:snapToGrid w:val="0"/>
              <w:jc w:val="center"/>
              <w:rPr>
                <w:rFonts w:hint="eastAsia" w:asciiTheme="minorEastAsia" w:hAnsiTheme="minorEastAsia" w:eastAsiaTheme="minorEastAsia" w:cstheme="minorEastAsia"/>
                <w:color w:val="auto"/>
                <w:sz w:val="24"/>
                <w:szCs w:val="22"/>
              </w:rPr>
            </w:pPr>
          </w:p>
        </w:tc>
        <w:tc>
          <w:tcPr>
            <w:tcW w:w="1050" w:type="dxa"/>
            <w:noWrap w:val="0"/>
            <w:vAlign w:val="center"/>
          </w:tcPr>
          <w:p w14:paraId="0062040A">
            <w:pPr>
              <w:adjustRightInd w:val="0"/>
              <w:snapToGrid w:val="0"/>
              <w:jc w:val="center"/>
              <w:rPr>
                <w:rFonts w:hint="eastAsia" w:asciiTheme="minorEastAsia" w:hAnsiTheme="minorEastAsia" w:eastAsiaTheme="minorEastAsia" w:cstheme="minorEastAsia"/>
                <w:color w:val="auto"/>
                <w:sz w:val="24"/>
                <w:szCs w:val="22"/>
              </w:rPr>
            </w:pPr>
          </w:p>
        </w:tc>
        <w:tc>
          <w:tcPr>
            <w:tcW w:w="1860" w:type="dxa"/>
            <w:noWrap w:val="0"/>
            <w:vAlign w:val="center"/>
          </w:tcPr>
          <w:p w14:paraId="369A35BD">
            <w:pPr>
              <w:adjustRightInd w:val="0"/>
              <w:snapToGrid w:val="0"/>
              <w:jc w:val="center"/>
              <w:rPr>
                <w:rFonts w:hint="eastAsia" w:asciiTheme="minorEastAsia" w:hAnsiTheme="minorEastAsia" w:eastAsiaTheme="minorEastAsia" w:cstheme="minorEastAsia"/>
                <w:color w:val="auto"/>
                <w:sz w:val="24"/>
                <w:szCs w:val="22"/>
              </w:rPr>
            </w:pPr>
          </w:p>
        </w:tc>
        <w:tc>
          <w:tcPr>
            <w:tcW w:w="1275" w:type="dxa"/>
            <w:noWrap w:val="0"/>
            <w:vAlign w:val="center"/>
          </w:tcPr>
          <w:p w14:paraId="2C126BF9">
            <w:pPr>
              <w:adjustRightInd w:val="0"/>
              <w:snapToGrid w:val="0"/>
              <w:jc w:val="center"/>
              <w:rPr>
                <w:rFonts w:hint="eastAsia" w:asciiTheme="minorEastAsia" w:hAnsiTheme="minorEastAsia" w:eastAsiaTheme="minorEastAsia" w:cstheme="minorEastAsia"/>
                <w:color w:val="auto"/>
                <w:sz w:val="24"/>
                <w:szCs w:val="22"/>
              </w:rPr>
            </w:pPr>
          </w:p>
        </w:tc>
        <w:tc>
          <w:tcPr>
            <w:tcW w:w="1605" w:type="dxa"/>
            <w:noWrap w:val="0"/>
            <w:vAlign w:val="center"/>
          </w:tcPr>
          <w:p w14:paraId="7D70C6E4">
            <w:pPr>
              <w:keepNext w:val="0"/>
              <w:keepLines w:val="0"/>
              <w:pageBreakBefore w:val="0"/>
              <w:widowControl w:val="0"/>
              <w:kinsoku/>
              <w:wordWrap w:val="0"/>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Theme="minorEastAsia" w:hAnsiTheme="minorEastAsia" w:eastAsiaTheme="minorEastAsia" w:cstheme="minorEastAsia"/>
                <w:smallCaps w:val="0"/>
                <w:color w:val="auto"/>
                <w:spacing w:val="0"/>
                <w:w w:val="100"/>
                <w:kern w:val="2"/>
                <w:position w:val="0"/>
                <w:sz w:val="24"/>
                <w:szCs w:val="24"/>
                <w:lang w:val="en-US" w:eastAsia="zh-CN" w:bidi="ar-SA"/>
              </w:rPr>
            </w:pPr>
          </w:p>
        </w:tc>
        <w:tc>
          <w:tcPr>
            <w:tcW w:w="885" w:type="dxa"/>
            <w:noWrap w:val="0"/>
            <w:vAlign w:val="center"/>
          </w:tcPr>
          <w:p w14:paraId="0140ABBA">
            <w:pPr>
              <w:keepNext w:val="0"/>
              <w:keepLines w:val="0"/>
              <w:pageBreakBefore w:val="0"/>
              <w:widowControl w:val="0"/>
              <w:kinsoku/>
              <w:wordWrap w:val="0"/>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Theme="minorEastAsia" w:hAnsiTheme="minorEastAsia" w:eastAsiaTheme="minorEastAsia" w:cstheme="minorEastAsia"/>
                <w:smallCaps w:val="0"/>
                <w:color w:val="auto"/>
                <w:spacing w:val="0"/>
                <w:w w:val="100"/>
                <w:kern w:val="2"/>
                <w:position w:val="0"/>
                <w:sz w:val="24"/>
                <w:szCs w:val="24"/>
                <w:lang w:val="en-US" w:eastAsia="zh-CN" w:bidi="ar-SA"/>
              </w:rPr>
            </w:pPr>
          </w:p>
        </w:tc>
        <w:tc>
          <w:tcPr>
            <w:tcW w:w="825" w:type="dxa"/>
            <w:noWrap w:val="0"/>
            <w:vAlign w:val="center"/>
          </w:tcPr>
          <w:p w14:paraId="79CA4707">
            <w:pPr>
              <w:keepNext w:val="0"/>
              <w:keepLines w:val="0"/>
              <w:pageBreakBefore w:val="0"/>
              <w:widowControl w:val="0"/>
              <w:kinsoku/>
              <w:wordWrap w:val="0"/>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Theme="minorEastAsia" w:hAnsiTheme="minorEastAsia" w:eastAsiaTheme="minorEastAsia" w:cstheme="minorEastAsia"/>
                <w:smallCaps w:val="0"/>
                <w:color w:val="auto"/>
                <w:spacing w:val="0"/>
                <w:w w:val="100"/>
                <w:kern w:val="2"/>
                <w:position w:val="0"/>
                <w:sz w:val="24"/>
                <w:szCs w:val="24"/>
                <w:lang w:val="en-US" w:eastAsia="zh-CN" w:bidi="ar-SA"/>
              </w:rPr>
            </w:pPr>
          </w:p>
        </w:tc>
        <w:tc>
          <w:tcPr>
            <w:tcW w:w="935" w:type="dxa"/>
            <w:noWrap w:val="0"/>
            <w:vAlign w:val="center"/>
          </w:tcPr>
          <w:p w14:paraId="7FBB72BA">
            <w:pPr>
              <w:adjustRightInd w:val="0"/>
              <w:snapToGrid w:val="0"/>
              <w:jc w:val="center"/>
              <w:rPr>
                <w:rFonts w:hint="eastAsia" w:asciiTheme="minorEastAsia" w:hAnsiTheme="minorEastAsia" w:eastAsiaTheme="minorEastAsia" w:cstheme="minorEastAsia"/>
                <w:color w:val="auto"/>
                <w:sz w:val="24"/>
                <w:szCs w:val="22"/>
              </w:rPr>
            </w:pPr>
          </w:p>
        </w:tc>
      </w:tr>
    </w:tbl>
    <w:p w14:paraId="6FE99AE7">
      <w:pPr>
        <w:rPr>
          <w:rFonts w:hint="eastAsia" w:asciiTheme="minorEastAsia" w:hAnsiTheme="minorEastAsia" w:eastAsiaTheme="minorEastAsia" w:cstheme="minorEastAsia"/>
          <w:color w:val="auto"/>
          <w:sz w:val="21"/>
          <w:szCs w:val="22"/>
        </w:rPr>
      </w:pPr>
    </w:p>
    <w:p w14:paraId="3A48568E">
      <w:pPr>
        <w:tabs>
          <w:tab w:val="left" w:pos="7365"/>
        </w:tabs>
        <w:rPr>
          <w:rFonts w:hint="eastAsia" w:asciiTheme="minorEastAsia" w:hAnsiTheme="minorEastAsia" w:eastAsiaTheme="minorEastAsia" w:cstheme="minorEastAsia"/>
          <w:color w:val="auto"/>
          <w:sz w:val="21"/>
          <w:szCs w:val="22"/>
        </w:rPr>
      </w:pPr>
      <w:r>
        <w:rPr>
          <w:rFonts w:hint="eastAsia" w:asciiTheme="minorEastAsia" w:hAnsiTheme="minorEastAsia" w:eastAsiaTheme="minorEastAsia" w:cstheme="minorEastAsia"/>
          <w:color w:val="auto"/>
          <w:sz w:val="21"/>
          <w:szCs w:val="22"/>
        </w:rPr>
        <w:tab/>
      </w:r>
    </w:p>
    <w:p w14:paraId="3039B277">
      <w:pPr>
        <w:ind w:left="424" w:leftChars="202"/>
        <w:rPr>
          <w:rFonts w:hint="eastAsia" w:asciiTheme="minorEastAsia" w:hAnsiTheme="minorEastAsia" w:eastAsiaTheme="minorEastAsia" w:cstheme="minorEastAsia"/>
          <w:color w:val="auto"/>
          <w:sz w:val="21"/>
          <w:szCs w:val="22"/>
        </w:rPr>
      </w:pPr>
    </w:p>
    <w:p w14:paraId="22868B2D">
      <w:pPr>
        <w:rPr>
          <w:rFonts w:hint="eastAsia" w:asciiTheme="minorEastAsia" w:hAnsiTheme="minorEastAsia" w:eastAsiaTheme="minorEastAsia" w:cstheme="minorEastAsia"/>
          <w:color w:val="auto"/>
          <w:sz w:val="21"/>
          <w:szCs w:val="22"/>
        </w:rPr>
      </w:pPr>
    </w:p>
    <w:p w14:paraId="005B6329">
      <w:pPr>
        <w:rPr>
          <w:rFonts w:hint="eastAsia" w:asciiTheme="minorEastAsia" w:hAnsiTheme="minorEastAsia" w:eastAsiaTheme="minorEastAsia" w:cstheme="minorEastAsia"/>
          <w:color w:val="auto"/>
          <w:sz w:val="21"/>
          <w:szCs w:val="22"/>
        </w:rPr>
      </w:pPr>
    </w:p>
    <w:p w14:paraId="687948B9">
      <w:pPr>
        <w:rPr>
          <w:rFonts w:hint="eastAsia" w:asciiTheme="minorEastAsia" w:hAnsiTheme="minorEastAsia" w:eastAsiaTheme="minorEastAsia" w:cstheme="minorEastAsia"/>
          <w:color w:val="auto"/>
          <w:sz w:val="21"/>
          <w:szCs w:val="22"/>
        </w:rPr>
      </w:pPr>
    </w:p>
    <w:p w14:paraId="4364D846">
      <w:pPr>
        <w:rPr>
          <w:rFonts w:hint="eastAsia" w:asciiTheme="minorEastAsia" w:hAnsiTheme="minorEastAsia" w:eastAsiaTheme="minorEastAsia" w:cstheme="minorEastAsia"/>
          <w:color w:val="auto"/>
          <w:sz w:val="21"/>
          <w:szCs w:val="22"/>
        </w:rPr>
      </w:pPr>
    </w:p>
    <w:p w14:paraId="631D54C7">
      <w:pPr>
        <w:rPr>
          <w:rFonts w:hint="eastAsia" w:asciiTheme="minorEastAsia" w:hAnsiTheme="minorEastAsia" w:eastAsiaTheme="minorEastAsia" w:cstheme="minorEastAsia"/>
          <w:color w:val="auto"/>
          <w:sz w:val="20"/>
          <w:szCs w:val="21"/>
        </w:rPr>
      </w:pPr>
    </w:p>
    <w:p w14:paraId="4335DAF6">
      <w:pPr>
        <w:rPr>
          <w:rFonts w:hint="eastAsia" w:asciiTheme="minorEastAsia" w:hAnsiTheme="minorEastAsia" w:eastAsiaTheme="minorEastAsia" w:cstheme="minorEastAsia"/>
          <w:color w:val="auto"/>
          <w:sz w:val="20"/>
          <w:szCs w:val="21"/>
        </w:rPr>
      </w:pPr>
    </w:p>
    <w:p w14:paraId="493086A3">
      <w:pPr>
        <w:rPr>
          <w:rFonts w:hint="eastAsia" w:asciiTheme="minorEastAsia" w:hAnsiTheme="minorEastAsia" w:eastAsiaTheme="minorEastAsia" w:cstheme="minorEastAsia"/>
          <w:color w:val="auto"/>
          <w:sz w:val="20"/>
          <w:szCs w:val="21"/>
        </w:rPr>
      </w:pPr>
    </w:p>
    <w:p w14:paraId="4BCC26A1">
      <w:pPr>
        <w:rPr>
          <w:rFonts w:hint="eastAsia" w:asciiTheme="minorEastAsia" w:hAnsiTheme="minorEastAsia" w:eastAsiaTheme="minorEastAsia" w:cstheme="minorEastAsia"/>
          <w:color w:val="auto"/>
          <w:sz w:val="20"/>
          <w:szCs w:val="21"/>
        </w:rPr>
      </w:pPr>
    </w:p>
    <w:p w14:paraId="259B48D2">
      <w:pPr>
        <w:rPr>
          <w:rFonts w:hint="eastAsia" w:asciiTheme="minorEastAsia" w:hAnsiTheme="minorEastAsia" w:eastAsiaTheme="minorEastAsia" w:cstheme="minorEastAsia"/>
          <w:color w:val="auto"/>
          <w:sz w:val="20"/>
          <w:szCs w:val="21"/>
        </w:rPr>
      </w:pPr>
    </w:p>
    <w:p w14:paraId="7EA4CC29">
      <w:pPr>
        <w:rPr>
          <w:rFonts w:hint="eastAsia" w:asciiTheme="minorEastAsia" w:hAnsiTheme="minorEastAsia" w:eastAsiaTheme="minorEastAsia" w:cstheme="minorEastAsia"/>
          <w:color w:val="auto"/>
          <w:sz w:val="20"/>
          <w:szCs w:val="21"/>
        </w:rPr>
      </w:pPr>
    </w:p>
    <w:p w14:paraId="5F81793F">
      <w:pPr>
        <w:rPr>
          <w:rFonts w:hint="eastAsia" w:asciiTheme="minorEastAsia" w:hAnsiTheme="minorEastAsia" w:eastAsiaTheme="minorEastAsia" w:cstheme="minorEastAsia"/>
          <w:color w:val="auto"/>
          <w:sz w:val="20"/>
          <w:szCs w:val="21"/>
        </w:rPr>
      </w:pPr>
    </w:p>
    <w:p w14:paraId="3355DA82">
      <w:pPr>
        <w:rPr>
          <w:rFonts w:hint="eastAsia" w:asciiTheme="minorEastAsia" w:hAnsiTheme="minorEastAsia" w:eastAsiaTheme="minorEastAsia" w:cstheme="minorEastAsia"/>
          <w:color w:val="auto"/>
          <w:sz w:val="20"/>
          <w:szCs w:val="21"/>
        </w:rPr>
      </w:pPr>
    </w:p>
    <w:p w14:paraId="352D3928">
      <w:pPr>
        <w:rPr>
          <w:rFonts w:hint="eastAsia" w:asciiTheme="minorEastAsia" w:hAnsiTheme="minorEastAsia" w:eastAsiaTheme="minorEastAsia" w:cstheme="minorEastAsia"/>
          <w:color w:val="auto"/>
          <w:sz w:val="20"/>
          <w:szCs w:val="21"/>
        </w:rPr>
      </w:pPr>
    </w:p>
    <w:p w14:paraId="01744283">
      <w:pPr>
        <w:rPr>
          <w:rFonts w:hint="eastAsia" w:asciiTheme="minorEastAsia" w:hAnsiTheme="minorEastAsia" w:eastAsiaTheme="minorEastAsia" w:cstheme="minorEastAsia"/>
          <w:color w:val="auto"/>
          <w:sz w:val="20"/>
          <w:szCs w:val="21"/>
        </w:rPr>
      </w:pPr>
    </w:p>
    <w:p w14:paraId="56208C3B">
      <w:pPr>
        <w:rPr>
          <w:rFonts w:hint="eastAsia" w:asciiTheme="minorEastAsia" w:hAnsiTheme="minorEastAsia" w:eastAsiaTheme="minorEastAsia" w:cstheme="minorEastAsia"/>
          <w:color w:val="auto"/>
          <w:sz w:val="20"/>
          <w:szCs w:val="21"/>
        </w:rPr>
      </w:pPr>
    </w:p>
    <w:p w14:paraId="037F0C38">
      <w:pPr>
        <w:rPr>
          <w:rFonts w:hint="eastAsia" w:asciiTheme="minorEastAsia" w:hAnsiTheme="minorEastAsia" w:eastAsiaTheme="minorEastAsia" w:cstheme="minorEastAsia"/>
          <w:color w:val="auto"/>
          <w:sz w:val="20"/>
          <w:szCs w:val="21"/>
        </w:rPr>
      </w:pPr>
    </w:p>
    <w:p w14:paraId="7B2BA9F0">
      <w:pPr>
        <w:rPr>
          <w:rFonts w:hint="eastAsia" w:asciiTheme="minorEastAsia" w:hAnsiTheme="minorEastAsia" w:eastAsiaTheme="minorEastAsia" w:cstheme="minorEastAsia"/>
          <w:color w:val="auto"/>
          <w:sz w:val="20"/>
          <w:szCs w:val="21"/>
        </w:rPr>
      </w:pPr>
    </w:p>
    <w:p w14:paraId="1697C60A">
      <w:pPr>
        <w:rPr>
          <w:rFonts w:hint="eastAsia" w:asciiTheme="minorEastAsia" w:hAnsiTheme="minorEastAsia" w:eastAsiaTheme="minorEastAsia" w:cstheme="minorEastAsia"/>
          <w:color w:val="auto"/>
          <w:sz w:val="20"/>
          <w:szCs w:val="21"/>
        </w:rPr>
      </w:pPr>
    </w:p>
    <w:p w14:paraId="50D53706">
      <w:pPr>
        <w:rPr>
          <w:rFonts w:hint="eastAsia" w:asciiTheme="minorEastAsia" w:hAnsiTheme="minorEastAsia" w:eastAsiaTheme="minorEastAsia" w:cstheme="minorEastAsia"/>
          <w:color w:val="auto"/>
          <w:sz w:val="20"/>
          <w:szCs w:val="21"/>
        </w:rPr>
      </w:pPr>
    </w:p>
    <w:p w14:paraId="5E847F80">
      <w:pPr>
        <w:rPr>
          <w:rFonts w:hint="eastAsia" w:asciiTheme="minorEastAsia" w:hAnsiTheme="minorEastAsia" w:eastAsiaTheme="minorEastAsia" w:cstheme="minorEastAsia"/>
          <w:color w:val="auto"/>
          <w:sz w:val="20"/>
          <w:szCs w:val="21"/>
        </w:rPr>
      </w:pPr>
    </w:p>
    <w:p w14:paraId="744BD3BA">
      <w:pPr>
        <w:rPr>
          <w:rFonts w:hint="eastAsia" w:asciiTheme="minorEastAsia" w:hAnsiTheme="minorEastAsia" w:eastAsiaTheme="minorEastAsia" w:cstheme="minorEastAsia"/>
          <w:color w:val="auto"/>
          <w:sz w:val="20"/>
          <w:szCs w:val="21"/>
        </w:rPr>
      </w:pPr>
    </w:p>
    <w:p w14:paraId="40E4F8A5">
      <w:pPr>
        <w:rPr>
          <w:rFonts w:hint="eastAsia" w:asciiTheme="minorEastAsia" w:hAnsiTheme="minorEastAsia" w:eastAsiaTheme="minorEastAsia" w:cstheme="minorEastAsia"/>
          <w:color w:val="auto"/>
          <w:sz w:val="20"/>
          <w:szCs w:val="21"/>
        </w:rPr>
      </w:pPr>
    </w:p>
    <w:p w14:paraId="037EB519">
      <w:pPr>
        <w:rPr>
          <w:rFonts w:hint="eastAsia" w:asciiTheme="minorEastAsia" w:hAnsiTheme="minorEastAsia" w:eastAsiaTheme="minorEastAsia" w:cstheme="minorEastAsia"/>
          <w:color w:val="auto"/>
          <w:sz w:val="20"/>
          <w:szCs w:val="21"/>
        </w:rPr>
      </w:pPr>
    </w:p>
    <w:p w14:paraId="4382E81E">
      <w:pPr>
        <w:rPr>
          <w:rFonts w:hint="eastAsia" w:asciiTheme="minorEastAsia" w:hAnsiTheme="minorEastAsia" w:eastAsiaTheme="minorEastAsia" w:cstheme="minorEastAsia"/>
          <w:color w:val="auto"/>
          <w:sz w:val="20"/>
          <w:szCs w:val="21"/>
        </w:rPr>
      </w:pPr>
    </w:p>
    <w:p w14:paraId="531DFCD9">
      <w:pPr>
        <w:rPr>
          <w:rFonts w:hint="eastAsia" w:asciiTheme="minorEastAsia" w:hAnsiTheme="minorEastAsia" w:eastAsiaTheme="minorEastAsia" w:cstheme="minorEastAsia"/>
          <w:color w:val="auto"/>
          <w:sz w:val="20"/>
          <w:szCs w:val="21"/>
        </w:rPr>
      </w:pPr>
    </w:p>
    <w:p w14:paraId="7488818E">
      <w:pPr>
        <w:rPr>
          <w:rFonts w:hint="eastAsia" w:asciiTheme="minorEastAsia" w:hAnsiTheme="minorEastAsia" w:eastAsiaTheme="minorEastAsia" w:cstheme="minorEastAsia"/>
          <w:color w:val="auto"/>
          <w:sz w:val="20"/>
          <w:szCs w:val="21"/>
        </w:rPr>
      </w:pPr>
    </w:p>
    <w:p w14:paraId="42E31590">
      <w:pPr>
        <w:rPr>
          <w:rFonts w:hint="eastAsia" w:asciiTheme="minorEastAsia" w:hAnsiTheme="minorEastAsia" w:eastAsiaTheme="minorEastAsia" w:cstheme="minorEastAsia"/>
          <w:color w:val="auto"/>
          <w:sz w:val="20"/>
          <w:szCs w:val="21"/>
        </w:rPr>
      </w:pPr>
    </w:p>
    <w:p w14:paraId="53C9B50C">
      <w:pPr>
        <w:rPr>
          <w:rFonts w:hint="eastAsia" w:asciiTheme="minorEastAsia" w:hAnsiTheme="minorEastAsia" w:eastAsiaTheme="minorEastAsia" w:cstheme="minorEastAsia"/>
          <w:color w:val="auto"/>
          <w:sz w:val="20"/>
          <w:szCs w:val="21"/>
        </w:rPr>
      </w:pPr>
    </w:p>
    <w:p w14:paraId="2026B654">
      <w:pPr>
        <w:pStyle w:val="3"/>
        <w:ind w:firstLine="0" w:firstLineChars="0"/>
        <w:jc w:val="both"/>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eastAsia="zh-CN"/>
        </w:rPr>
        <w:t>附件</w:t>
      </w:r>
      <w:r>
        <w:rPr>
          <w:rFonts w:hint="eastAsia" w:asciiTheme="minorEastAsia" w:hAnsiTheme="minorEastAsia" w:eastAsiaTheme="minorEastAsia" w:cstheme="minorEastAsia"/>
          <w:color w:val="auto"/>
          <w:sz w:val="28"/>
          <w:szCs w:val="28"/>
          <w:lang w:val="en-US" w:eastAsia="zh-CN"/>
        </w:rPr>
        <w:t>2</w:t>
      </w:r>
    </w:p>
    <w:p w14:paraId="38D67711">
      <w:pPr>
        <w:pStyle w:val="9"/>
        <w:rPr>
          <w:rFonts w:asciiTheme="minorEastAsia" w:hAnsiTheme="minorEastAsia" w:cstheme="minorEastAsia"/>
          <w:color w:val="auto"/>
          <w:sz w:val="18"/>
          <w:szCs w:val="18"/>
        </w:rPr>
      </w:pPr>
      <w:r>
        <w:rPr>
          <w:rFonts w:hint="eastAsia" w:asciiTheme="minorEastAsia" w:hAnsiTheme="minorEastAsia" w:eastAsiaTheme="minorEastAsia" w:cstheme="minorEastAsia"/>
          <w:b/>
          <w:color w:val="auto"/>
          <w:sz w:val="28"/>
          <w:szCs w:val="28"/>
          <w:lang w:val="en-US" w:eastAsia="zh-CN"/>
        </w:rPr>
        <w:t>设备参数技术需求</w:t>
      </w:r>
    </w:p>
    <w:p w14:paraId="054D6A3C">
      <w:pPr>
        <w:pStyle w:val="9"/>
        <w:rPr>
          <w:rFonts w:hint="eastAsia" w:asciiTheme="minorEastAsia" w:hAnsiTheme="minorEastAsia" w:cstheme="minorEastAsia"/>
          <w:color w:val="auto"/>
          <w:sz w:val="18"/>
          <w:szCs w:val="18"/>
          <w:lang w:val="en-US" w:eastAsia="zh-Hans"/>
        </w:rPr>
      </w:pPr>
    </w:p>
    <w:p w14:paraId="5EBC087C">
      <w:pPr>
        <w:rPr>
          <w:color w:val="auto"/>
        </w:rPr>
      </w:pPr>
    </w:p>
    <w:p w14:paraId="022B058C">
      <w:pPr>
        <w:rPr>
          <w:color w:val="auto"/>
        </w:rPr>
      </w:pPr>
    </w:p>
    <w:p w14:paraId="0EFFD1F5">
      <w:pPr>
        <w:rPr>
          <w:color w:val="auto"/>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FC0D7">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EB685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FEB685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D24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autoSpaceDE w:val="0"/>
      <w:autoSpaceDN w:val="0"/>
      <w:adjustRightInd w:val="0"/>
      <w:spacing w:after="200" w:line="360" w:lineRule="auto"/>
      <w:ind w:firstLine="3453" w:firstLineChars="1150"/>
      <w:jc w:val="left"/>
      <w:outlineLvl w:val="2"/>
    </w:pPr>
    <w:rPr>
      <w:rFonts w:ascii="宋体" w:hAnsi="宋体" w:eastAsia="Calibri"/>
      <w:b/>
      <w:kern w:val="0"/>
      <w:sz w:val="30"/>
      <w:szCs w:val="30"/>
      <w:shd w:val="clear" w:color="auto" w:fill="FFFFFF"/>
      <w:lang w:eastAsia="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 w:type="paragraph" w:styleId="4">
    <w:name w:val="Plain Text"/>
    <w:basedOn w:val="1"/>
    <w:next w:val="1"/>
    <w:qFormat/>
    <w:uiPriority w:val="0"/>
    <w:pPr>
      <w:tabs>
        <w:tab w:val="left" w:pos="5890"/>
        <w:tab w:val="center" w:pos="8108"/>
      </w:tabs>
      <w:spacing w:line="223" w:lineRule="auto"/>
      <w:ind w:right="-86" w:firstLine="480" w:firstLineChars="200"/>
      <w:jc w:val="left"/>
    </w:pPr>
    <w:rPr>
      <w:rFonts w:ascii="宋体" w:hAnsi="Courier New" w:eastAsia="宋体" w:cs="Times New Roman"/>
      <w:color w:val="000000"/>
      <w:kern w:val="0"/>
      <w:sz w:val="24"/>
      <w:lang w:val="zh-CN"/>
    </w:rPr>
  </w:style>
  <w:style w:type="paragraph" w:styleId="5">
    <w:name w:val="footer"/>
    <w:basedOn w:val="1"/>
    <w:next w:val="6"/>
    <w:qFormat/>
    <w:uiPriority w:val="0"/>
    <w:pPr>
      <w:tabs>
        <w:tab w:val="center" w:pos="4153"/>
        <w:tab w:val="right" w:pos="8306"/>
      </w:tabs>
      <w:snapToGrid w:val="0"/>
      <w:jc w:val="left"/>
    </w:pPr>
    <w:rPr>
      <w:sz w:val="18"/>
      <w:szCs w:val="18"/>
    </w:rPr>
  </w:style>
  <w:style w:type="paragraph" w:customStyle="1" w:styleId="6">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2025-08-20T04:47:14Z</dcterms:created>
  <dc:creator>Administrator</dc:creator>
  <cp:lastModifiedBy>苗子</cp:lastModifiedBy>
  <dcterms:modified xsi:type="dcterms:W3CDTF">2025-08-20T04:47:31Z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KSOTemplateDocerSaveRecord">
    <vt:lpwstr>eyJoZGlkIjoiYWMwZDE5MGE4NDhjMDcyNWM4OTNkNzAzZTdjZDc5YmQiLCJ1c2VySWQiOiIzNTg2ODAxMDgifQ==</vt:lpwstr>
  </property>
  <property fmtid="{D5CDD505-2E9C-101B-9397-08002B2CF9AE}" pid="4" name="ICV">
    <vt:lpwstr>D55203C4626F4106BCBBC668CF9C39D5_12</vt:lpwstr>
  </property>
</Properties>
</file>