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6ABD18">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仿宋_GB2312" w:hAnsi="仿宋" w:eastAsia="仿宋_GB2312"/>
          <w:bCs/>
          <w:sz w:val="44"/>
          <w:szCs w:val="44"/>
          <w:highlight w:val="none"/>
        </w:rPr>
      </w:pPr>
      <w:r>
        <w:rPr>
          <w:rFonts w:hint="eastAsia" w:ascii="仿宋_GB2312" w:hAnsi="仿宋" w:eastAsia="仿宋_GB2312"/>
          <w:b/>
          <w:bCs w:val="0"/>
          <w:sz w:val="44"/>
          <w:szCs w:val="44"/>
          <w:highlight w:val="none"/>
        </w:rPr>
        <w:t>拟签订采购合同文本</w:t>
      </w:r>
    </w:p>
    <w:p w14:paraId="27532D57">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sz w:val="28"/>
          <w:szCs w:val="28"/>
          <w:highlight w:val="none"/>
          <w:u w:val="single"/>
        </w:rPr>
      </w:pPr>
      <w:r>
        <w:rPr>
          <w:rFonts w:hint="eastAsia" w:ascii="仿宋_GB2312" w:hAnsi="仿宋" w:eastAsia="仿宋_GB2312"/>
          <w:bCs/>
          <w:sz w:val="28"/>
          <w:szCs w:val="28"/>
          <w:highlight w:val="none"/>
        </w:rPr>
        <w:t>甲方（采购人）：</w:t>
      </w:r>
      <w:r>
        <w:rPr>
          <w:rFonts w:hint="eastAsia" w:ascii="仿宋_GB2312" w:hAnsi="仿宋" w:eastAsia="仿宋_GB2312"/>
          <w:bCs/>
          <w:sz w:val="28"/>
          <w:szCs w:val="28"/>
          <w:highlight w:val="none"/>
          <w:u w:val="single"/>
        </w:rPr>
        <w:t xml:space="preserve">                                    </w:t>
      </w:r>
    </w:p>
    <w:p w14:paraId="4B87BBDA">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u w:val="single"/>
          <w:lang w:val="en-US" w:eastAsia="zh-CN"/>
        </w:rPr>
      </w:pPr>
      <w:r>
        <w:rPr>
          <w:rFonts w:hint="eastAsia" w:ascii="仿宋_GB2312" w:hAnsi="仿宋" w:eastAsia="仿宋_GB2312"/>
          <w:bCs/>
          <w:sz w:val="28"/>
          <w:szCs w:val="28"/>
          <w:highlight w:val="none"/>
          <w:lang w:val="en-US" w:eastAsia="zh-CN"/>
        </w:rPr>
        <w:t>地  址：</w:t>
      </w:r>
      <w:r>
        <w:rPr>
          <w:rFonts w:hint="eastAsia" w:ascii="仿宋_GB2312" w:hAnsi="仿宋" w:eastAsia="仿宋_GB2312"/>
          <w:bCs/>
          <w:sz w:val="28"/>
          <w:szCs w:val="28"/>
          <w:highlight w:val="none"/>
          <w:u w:val="single"/>
          <w:lang w:val="en-US" w:eastAsia="zh-CN"/>
        </w:rPr>
        <w:t xml:space="preserve">                                            </w:t>
      </w:r>
    </w:p>
    <w:p w14:paraId="1F3792D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乙方（成交供应商）：</w:t>
      </w:r>
      <w:r>
        <w:rPr>
          <w:rFonts w:hint="eastAsia" w:ascii="仿宋_GB2312" w:hAnsi="仿宋" w:eastAsia="仿宋_GB2312"/>
          <w:bCs/>
          <w:sz w:val="28"/>
          <w:szCs w:val="28"/>
          <w:highlight w:val="none"/>
          <w:u w:val="single"/>
        </w:rPr>
        <w:t xml:space="preserve">                                </w:t>
      </w:r>
      <w:r>
        <w:rPr>
          <w:rFonts w:hint="eastAsia" w:ascii="仿宋_GB2312" w:hAnsi="仿宋" w:eastAsia="仿宋_GB2312"/>
          <w:bCs/>
          <w:sz w:val="28"/>
          <w:szCs w:val="28"/>
          <w:highlight w:val="none"/>
        </w:rPr>
        <w:t xml:space="preserve"> </w:t>
      </w:r>
    </w:p>
    <w:p w14:paraId="20DE8070">
      <w:pPr>
        <w:autoSpaceDE w:val="0"/>
        <w:autoSpaceDN w:val="0"/>
        <w:adjustRightInd w:val="0"/>
        <w:snapToGrid w:val="0"/>
        <w:spacing w:line="360" w:lineRule="auto"/>
        <w:ind w:firstLine="560" w:firstLineChars="200"/>
        <w:rPr>
          <w:rFonts w:hint="eastAsia" w:ascii="仿宋_GB2312" w:hAnsi="仿宋" w:eastAsia="仿宋_GB2312"/>
          <w:bCs/>
          <w:sz w:val="28"/>
          <w:szCs w:val="28"/>
          <w:highlight w:val="none"/>
          <w:u w:val="single"/>
          <w:lang w:val="en-US" w:eastAsia="zh-CN"/>
        </w:rPr>
      </w:pPr>
      <w:r>
        <w:rPr>
          <w:rFonts w:hint="eastAsia" w:ascii="仿宋_GB2312" w:hAnsi="仿宋_GB2312" w:eastAsia="仿宋_GB2312" w:cs="仿宋_GB2312"/>
          <w:sz w:val="28"/>
          <w:szCs w:val="28"/>
          <w:highlight w:val="none"/>
          <w:lang w:val="en-US" w:eastAsia="zh-CN"/>
        </w:rPr>
        <w:t>地  址：</w:t>
      </w:r>
      <w:r>
        <w:rPr>
          <w:rFonts w:hint="eastAsia" w:ascii="仿宋_GB2312" w:hAnsi="仿宋" w:eastAsia="仿宋_GB2312"/>
          <w:bCs/>
          <w:sz w:val="28"/>
          <w:szCs w:val="28"/>
          <w:highlight w:val="none"/>
          <w:u w:val="single"/>
          <w:lang w:val="en-US" w:eastAsia="zh-CN"/>
        </w:rPr>
        <w:t xml:space="preserve">                                            </w:t>
      </w:r>
    </w:p>
    <w:p w14:paraId="407BCA1E">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eastAsia="仿宋_GB2312"/>
          <w:bCs/>
          <w:sz w:val="28"/>
          <w:szCs w:val="28"/>
          <w:u w:val="single"/>
        </w:rPr>
        <w:t>西安市水灾害防御物资储备库看管及设施</w:t>
      </w:r>
      <w:r>
        <w:rPr>
          <w:rFonts w:hint="eastAsia" w:ascii="仿宋_GB2312" w:eastAsia="仿宋_GB2312"/>
          <w:bCs/>
          <w:sz w:val="28"/>
          <w:szCs w:val="28"/>
          <w:u w:val="single"/>
          <w:lang w:val="en-US" w:eastAsia="zh-CN"/>
        </w:rPr>
        <w:t>维修养护</w:t>
      </w:r>
      <w:r>
        <w:rPr>
          <w:rFonts w:hint="eastAsia" w:ascii="仿宋_GB2312" w:eastAsia="仿宋_GB2312"/>
          <w:bCs/>
          <w:sz w:val="28"/>
          <w:szCs w:val="28"/>
          <w:u w:val="single"/>
        </w:rPr>
        <w:t>项目(项目编号：SXHC2025-249</w:t>
      </w:r>
      <w:r>
        <w:rPr>
          <w:rFonts w:hint="eastAsia" w:ascii="仿宋_GB2312" w:eastAsia="仿宋_GB2312"/>
          <w:bCs/>
          <w:sz w:val="28"/>
          <w:szCs w:val="28"/>
        </w:rPr>
        <w:t>，由陕西华采招标有限公司组织竞争性磋商，</w:t>
      </w:r>
      <w:r>
        <w:rPr>
          <w:rFonts w:hint="eastAsia" w:ascii="仿宋_GB2312" w:hAnsi="仿宋" w:eastAsia="仿宋_GB2312"/>
          <w:bCs/>
          <w:sz w:val="28"/>
          <w:szCs w:val="28"/>
        </w:rPr>
        <w:t>(以下简称“甲方”)确定（以下简称“乙方”）为该项目的成交供应商。</w:t>
      </w:r>
    </w:p>
    <w:p w14:paraId="5BBE2FEE">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依据《中华人民共和国民法典》和《中华人民共和国政府采购法》之规定，经双方在平等、自愿、互利的基础上，签订本合同，共同信守。</w:t>
      </w:r>
    </w:p>
    <w:p w14:paraId="35545062">
      <w:pPr>
        <w:adjustRightInd w:val="0"/>
        <w:snapToGrid w:val="0"/>
        <w:spacing w:line="360" w:lineRule="auto"/>
        <w:ind w:firstLine="562" w:firstLineChars="200"/>
        <w:rPr>
          <w:rFonts w:ascii="仿宋_GB2312" w:hAnsi="仿宋_GB2312" w:eastAsia="仿宋_GB2312" w:cs="仿宋_GB2312"/>
          <w:b/>
          <w:sz w:val="28"/>
          <w:szCs w:val="28"/>
        </w:rPr>
      </w:pPr>
      <w:r>
        <w:rPr>
          <w:rFonts w:hint="eastAsia" w:ascii="仿宋_GB2312" w:hAnsi="仿宋_GB2312" w:eastAsia="仿宋_GB2312" w:cs="仿宋_GB2312"/>
          <w:b/>
          <w:sz w:val="28"/>
          <w:szCs w:val="28"/>
        </w:rPr>
        <w:t>一、合同价款</w:t>
      </w:r>
    </w:p>
    <w:p w14:paraId="75FC68EE">
      <w:pPr>
        <w:autoSpaceDE w:val="0"/>
        <w:autoSpaceDN w:val="0"/>
        <w:adjustRightInd w:val="0"/>
        <w:snapToGrid w:val="0"/>
        <w:spacing w:line="360" w:lineRule="auto"/>
        <w:ind w:firstLine="560" w:firstLineChars="200"/>
        <w:rPr>
          <w:rFonts w:ascii="仿宋_GB2312" w:hAnsi="仿宋" w:eastAsia="仿宋_GB2312"/>
          <w:sz w:val="28"/>
          <w:szCs w:val="28"/>
        </w:rPr>
      </w:pPr>
      <w:r>
        <w:rPr>
          <w:rFonts w:hint="eastAsia" w:ascii="仿宋_GB2312" w:hAnsi="仿宋" w:eastAsia="仿宋_GB2312"/>
          <w:sz w:val="28"/>
          <w:szCs w:val="28"/>
        </w:rPr>
        <w:t>（一）合同暂定价为人民币（大写）</w:t>
      </w:r>
      <w:r>
        <w:rPr>
          <w:rFonts w:hint="eastAsia" w:ascii="仿宋_GB2312" w:hAnsi="仿宋" w:eastAsia="仿宋_GB2312"/>
          <w:sz w:val="28"/>
          <w:szCs w:val="28"/>
          <w:u w:val="single"/>
          <w:lang w:val="en-US" w:eastAsia="zh-CN"/>
        </w:rPr>
        <w:t xml:space="preserve">        </w:t>
      </w:r>
      <w:r>
        <w:rPr>
          <w:rFonts w:hint="eastAsia" w:ascii="仿宋_GB2312" w:hAnsi="仿宋" w:eastAsia="仿宋_GB2312"/>
          <w:sz w:val="28"/>
          <w:szCs w:val="28"/>
        </w:rPr>
        <w:t>（¥</w:t>
      </w:r>
      <w:r>
        <w:rPr>
          <w:rFonts w:hint="eastAsia" w:ascii="仿宋_GB2312" w:hAnsi="仿宋" w:eastAsia="仿宋_GB2312"/>
          <w:sz w:val="28"/>
          <w:szCs w:val="28"/>
          <w:u w:val="single"/>
          <w:lang w:val="en-US" w:eastAsia="zh-CN"/>
        </w:rPr>
        <w:t xml:space="preserve">       </w:t>
      </w:r>
      <w:r>
        <w:rPr>
          <w:rFonts w:hint="eastAsia" w:ascii="仿宋_GB2312" w:hAnsi="仿宋" w:eastAsia="仿宋_GB2312"/>
          <w:sz w:val="28"/>
          <w:szCs w:val="28"/>
        </w:rPr>
        <w:t>）。</w:t>
      </w:r>
    </w:p>
    <w:p w14:paraId="20DD5DAF">
      <w:pPr>
        <w:autoSpaceDE w:val="0"/>
        <w:autoSpaceDN w:val="0"/>
        <w:adjustRightInd w:val="0"/>
        <w:snapToGrid w:val="0"/>
        <w:spacing w:line="360" w:lineRule="auto"/>
        <w:ind w:firstLine="560" w:firstLineChars="200"/>
        <w:rPr>
          <w:rFonts w:ascii="仿宋_GB2312" w:hAnsi="仿宋" w:eastAsia="仿宋_GB2312"/>
          <w:sz w:val="28"/>
          <w:szCs w:val="28"/>
        </w:rPr>
      </w:pPr>
      <w:r>
        <w:rPr>
          <w:rFonts w:hint="eastAsia" w:ascii="仿宋_GB2312" w:hAnsi="仿宋" w:eastAsia="仿宋_GB2312"/>
          <w:sz w:val="28"/>
          <w:szCs w:val="28"/>
        </w:rPr>
        <w:t>（二）合同价款是指完成本次活动包含的所有内容，</w:t>
      </w:r>
      <w:r>
        <w:rPr>
          <w:rFonts w:hint="eastAsia" w:ascii="仿宋_GB2312" w:hAnsi="宋体" w:eastAsia="仿宋_GB2312"/>
          <w:sz w:val="28"/>
          <w:szCs w:val="28"/>
        </w:rPr>
        <w:t>包括但不限于人员工资、装备配置费、维修维护费等一切相关费用</w:t>
      </w:r>
      <w:r>
        <w:rPr>
          <w:rFonts w:hint="eastAsia" w:ascii="仿宋_GB2312" w:hAnsi="仿宋" w:eastAsia="仿宋_GB2312"/>
          <w:bCs/>
          <w:sz w:val="28"/>
          <w:szCs w:val="28"/>
        </w:rPr>
        <w:t>（不包含物资库房能源保障费）</w:t>
      </w:r>
      <w:r>
        <w:rPr>
          <w:rFonts w:hint="eastAsia" w:ascii="仿宋_GB2312" w:hAnsi="宋体" w:eastAsia="仿宋_GB2312"/>
          <w:sz w:val="28"/>
          <w:szCs w:val="28"/>
        </w:rPr>
        <w:t>，</w:t>
      </w:r>
      <w:r>
        <w:rPr>
          <w:rFonts w:hint="eastAsia" w:ascii="仿宋_GB2312" w:hAnsi="仿宋" w:eastAsia="仿宋_GB2312"/>
          <w:sz w:val="28"/>
          <w:szCs w:val="28"/>
        </w:rPr>
        <w:t>甲方不再增加任何费用。</w:t>
      </w:r>
    </w:p>
    <w:p w14:paraId="6EAB4896">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 w:eastAsia="仿宋_GB2312"/>
          <w:sz w:val="28"/>
          <w:szCs w:val="28"/>
        </w:rPr>
        <w:t>（三）合同总价一次性包死，不受市场价格变化因素的影响</w:t>
      </w:r>
      <w:r>
        <w:rPr>
          <w:rFonts w:hint="eastAsia" w:ascii="仿宋_GB2312" w:hAnsi="仿宋_GB2312" w:eastAsia="仿宋_GB2312" w:cs="仿宋_GB2312"/>
          <w:sz w:val="28"/>
          <w:szCs w:val="28"/>
        </w:rPr>
        <w:t>。</w:t>
      </w:r>
    </w:p>
    <w:p w14:paraId="7D98498B">
      <w:pPr>
        <w:adjustRightInd w:val="0"/>
        <w:snapToGrid w:val="0"/>
        <w:spacing w:line="360" w:lineRule="auto"/>
        <w:ind w:firstLine="562" w:firstLineChars="200"/>
        <w:rPr>
          <w:rFonts w:ascii="仿宋_GB2312" w:hAnsi="仿宋_GB2312" w:eastAsia="仿宋_GB2312" w:cs="仿宋_GB2312"/>
          <w:b/>
          <w:sz w:val="28"/>
          <w:szCs w:val="28"/>
        </w:rPr>
      </w:pPr>
      <w:r>
        <w:rPr>
          <w:rFonts w:hint="eastAsia" w:ascii="仿宋_GB2312" w:hAnsi="仿宋_GB2312" w:eastAsia="仿宋_GB2312" w:cs="仿宋_GB2312"/>
          <w:b/>
          <w:sz w:val="28"/>
          <w:szCs w:val="28"/>
        </w:rPr>
        <w:t>二、款项结算</w:t>
      </w:r>
    </w:p>
    <w:p w14:paraId="50EC12A9">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w:t>
      </w:r>
      <w:r>
        <w:rPr>
          <w:rFonts w:hint="eastAsia" w:ascii="仿宋_GB2312" w:hAnsi="仿宋_GB2312" w:eastAsia="仿宋_GB2312" w:cs="仿宋_GB2312"/>
          <w:bCs/>
          <w:sz w:val="28"/>
          <w:szCs w:val="28"/>
        </w:rPr>
        <w:t>合同款的支付</w:t>
      </w:r>
      <w:r>
        <w:rPr>
          <w:rFonts w:hint="eastAsia" w:ascii="仿宋_GB2312" w:hAnsi="仿宋_GB2312" w:eastAsia="仿宋_GB2312" w:cs="仿宋_GB2312"/>
          <w:sz w:val="28"/>
          <w:szCs w:val="28"/>
        </w:rPr>
        <w:t>：</w:t>
      </w:r>
    </w:p>
    <w:p w14:paraId="7A24F4F3">
      <w:pPr>
        <w:adjustRightInd w:val="0"/>
        <w:snapToGrid w:val="0"/>
        <w:spacing w:line="360" w:lineRule="auto"/>
        <w:ind w:firstLine="560" w:firstLineChars="200"/>
        <w:rPr>
          <w:rFonts w:ascii="仿宋_GB2312" w:hAnsi="仿宋_GB2312" w:eastAsia="仿宋_GB2312" w:cs="仿宋_GB2312"/>
          <w:sz w:val="28"/>
          <w:szCs w:val="28"/>
          <w:highlight w:val="yellow"/>
        </w:rPr>
      </w:pPr>
      <w:r>
        <w:rPr>
          <w:rFonts w:hint="eastAsia" w:ascii="仿宋_GB2312" w:hAnsi="仿宋_GB2312" w:eastAsia="仿宋_GB2312" w:cs="仿宋_GB2312"/>
          <w:sz w:val="28"/>
          <w:szCs w:val="28"/>
          <w:highlight w:val="none"/>
        </w:rPr>
        <w:t>根据合同要求付款，付款时提供正规发票、项目验收单，达到付款条件起30日内，支付合同总金额的100.00%。</w:t>
      </w:r>
    </w:p>
    <w:p w14:paraId="2BA3C493">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（二）支付方式：银行转账。</w:t>
      </w:r>
    </w:p>
    <w:p w14:paraId="5DAF1465">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（三）结算方式：</w:t>
      </w:r>
      <w:r>
        <w:rPr>
          <w:rFonts w:hint="eastAsia" w:ascii="仿宋_GB2312" w:hAnsi="仿宋" w:eastAsia="仿宋_GB2312"/>
          <w:bCs/>
          <w:sz w:val="28"/>
          <w:szCs w:val="28"/>
        </w:rPr>
        <w:t>乙方</w:t>
      </w:r>
      <w:r>
        <w:rPr>
          <w:rFonts w:ascii="仿宋_GB2312" w:hAnsi="仿宋" w:eastAsia="仿宋_GB2312"/>
          <w:bCs/>
          <w:sz w:val="28"/>
          <w:szCs w:val="28"/>
        </w:rPr>
        <w:t>在接受付款前开具</w:t>
      </w:r>
      <w:r>
        <w:rPr>
          <w:rFonts w:hint="eastAsia" w:ascii="仿宋_GB2312" w:hAnsi="仿宋" w:eastAsia="仿宋_GB2312"/>
          <w:bCs/>
          <w:sz w:val="28"/>
          <w:szCs w:val="28"/>
        </w:rPr>
        <w:t>增值税专用</w:t>
      </w:r>
      <w:r>
        <w:rPr>
          <w:rFonts w:ascii="仿宋_GB2312" w:hAnsi="仿宋" w:eastAsia="仿宋_GB2312"/>
          <w:bCs/>
          <w:sz w:val="28"/>
          <w:szCs w:val="28"/>
        </w:rPr>
        <w:t>发票给</w:t>
      </w:r>
      <w:r>
        <w:rPr>
          <w:rFonts w:hint="eastAsia" w:ascii="仿宋_GB2312" w:hAnsi="仿宋" w:eastAsia="仿宋_GB2312"/>
          <w:bCs/>
          <w:sz w:val="28"/>
          <w:szCs w:val="28"/>
        </w:rPr>
        <w:t>甲方，甲方于10个工作日内向乙方支付</w:t>
      </w:r>
      <w:r>
        <w:rPr>
          <w:rFonts w:hint="eastAsia" w:ascii="仿宋_GB2312" w:hAnsi="仿宋_GB2312" w:eastAsia="仿宋_GB2312" w:cs="仿宋_GB2312"/>
          <w:sz w:val="28"/>
          <w:szCs w:val="28"/>
        </w:rPr>
        <w:t>。</w:t>
      </w:r>
    </w:p>
    <w:p w14:paraId="45085727">
      <w:pPr>
        <w:adjustRightInd w:val="0"/>
        <w:snapToGrid w:val="0"/>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三、服务地点及服务期</w:t>
      </w:r>
    </w:p>
    <w:p w14:paraId="0A60B168">
      <w:pPr>
        <w:adjustRightInd w:val="0"/>
        <w:snapToGrid w:val="0"/>
        <w:spacing w:line="360" w:lineRule="auto"/>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（一）服务地点：西安市水灾害防御</w:t>
      </w:r>
      <w:r>
        <w:rPr>
          <w:rFonts w:hint="eastAsia" w:ascii="仿宋_GB2312" w:hAnsi="仿宋_GB2312" w:eastAsia="仿宋_GB2312" w:cs="仿宋_GB2312"/>
          <w:sz w:val="28"/>
          <w:szCs w:val="28"/>
        </w:rPr>
        <w:t>物资储备库</w:t>
      </w:r>
      <w:r>
        <w:rPr>
          <w:rFonts w:hint="eastAsia" w:ascii="仿宋_GB2312" w:hAnsi="仿宋_GB2312" w:eastAsia="仿宋_GB2312" w:cs="仿宋_GB2312"/>
          <w:sz w:val="28"/>
          <w:szCs w:val="28"/>
          <w:highlight w:val="none"/>
        </w:rPr>
        <w:t>，具体以采购人指定地点为准。</w:t>
      </w:r>
    </w:p>
    <w:p w14:paraId="64F7528F">
      <w:pPr>
        <w:adjustRightInd w:val="0"/>
        <w:snapToGrid w:val="0"/>
        <w:spacing w:line="360" w:lineRule="auto"/>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（二）服务期：自合同签订之日起1年。</w:t>
      </w:r>
    </w:p>
    <w:p w14:paraId="3F726FDB">
      <w:pPr>
        <w:autoSpaceDE w:val="0"/>
        <w:autoSpaceDN w:val="0"/>
        <w:adjustRightInd w:val="0"/>
        <w:snapToGrid w:val="0"/>
        <w:spacing w:line="360" w:lineRule="auto"/>
        <w:ind w:firstLine="562" w:firstLineChars="200"/>
        <w:rPr>
          <w:rFonts w:ascii="仿宋_GB2312" w:hAnsi="仿宋" w:eastAsia="仿宋_GB2312"/>
          <w:b/>
          <w:bCs/>
          <w:sz w:val="28"/>
          <w:szCs w:val="28"/>
        </w:rPr>
      </w:pPr>
      <w:r>
        <w:rPr>
          <w:rFonts w:hint="eastAsia" w:ascii="仿宋_GB2312" w:hAnsi="仿宋" w:eastAsia="仿宋_GB2312"/>
          <w:b/>
          <w:bCs/>
          <w:sz w:val="28"/>
          <w:szCs w:val="28"/>
        </w:rPr>
        <w:t>四、服务承诺</w:t>
      </w:r>
    </w:p>
    <w:p w14:paraId="0CBF6C20">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（一）承诺磋商响应文件中的维修养护人员均为专业人员。</w:t>
      </w:r>
    </w:p>
    <w:p w14:paraId="15EAA349">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 w:eastAsia="仿宋_GB2312"/>
          <w:bCs/>
          <w:sz w:val="28"/>
          <w:szCs w:val="28"/>
        </w:rPr>
        <w:t>（二）</w:t>
      </w:r>
      <w:r>
        <w:rPr>
          <w:rFonts w:hint="eastAsia" w:ascii="仿宋_GB2312" w:hAnsi="仿宋_GB2312" w:eastAsia="仿宋_GB2312" w:cs="仿宋_GB2312"/>
          <w:sz w:val="28"/>
          <w:szCs w:val="28"/>
        </w:rPr>
        <w:t>乙方须在用户所在地（西安市）设有维修中心，提供维修中心的地址，联系方式及联系人，并按合同要求负责详细的每月维护和应急维修事宜。</w:t>
      </w:r>
    </w:p>
    <w:p w14:paraId="0995A3D1">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因甲方单位工作性质特殊，要求乙方在接到用户下达的维修通知后，立即组织维修机师到达现场进行抢修（市里2小时，郊县、区3小时到达），并快速维修设备，不受天气环境影响，全年全天候24小时响应。</w:t>
      </w:r>
    </w:p>
    <w:p w14:paraId="5B91CF76">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四）每月两次到甲方指定场地对物资库进行查验，对库房及绿化配套设施进行常规保养检查、运转检测；每日对库区进行日常清扫保洁、绿化养护及道路维护工作，若需维修更新，需在发现问题后一个工作日上报甲方，乙方每次维修和更换零部件必须经过甲方项目负责人签字确认后方可实施。</w:t>
      </w:r>
    </w:p>
    <w:p w14:paraId="567C43EE">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五）乙方必须严格遵守养护管理规范以及甲方相关部门管理制度规范，甲方根据考核办法对乙方进行考核，违反规定时的罚金从每月的养护费用内扣除，连续三个月考核不合格，甲方有权解除养护合同，并要求乙方赔偿甲方损失。</w:t>
      </w:r>
    </w:p>
    <w:p w14:paraId="484CAF71">
      <w:pPr>
        <w:autoSpaceDE w:val="0"/>
        <w:autoSpaceDN w:val="0"/>
        <w:adjustRightInd w:val="0"/>
        <w:snapToGrid w:val="0"/>
        <w:spacing w:line="360" w:lineRule="auto"/>
        <w:ind w:firstLine="562" w:firstLineChars="200"/>
        <w:rPr>
          <w:rFonts w:ascii="仿宋_GB2312" w:hAnsi="仿宋" w:eastAsia="仿宋_GB2312"/>
          <w:b/>
          <w:sz w:val="28"/>
          <w:szCs w:val="28"/>
        </w:rPr>
      </w:pPr>
      <w:r>
        <w:rPr>
          <w:rFonts w:hint="eastAsia" w:ascii="仿宋_GB2312" w:hAnsi="仿宋" w:eastAsia="仿宋_GB2312"/>
          <w:b/>
          <w:sz w:val="28"/>
          <w:szCs w:val="28"/>
        </w:rPr>
        <w:t>五、验收</w:t>
      </w:r>
    </w:p>
    <w:p w14:paraId="05D192CA">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（一）</w:t>
      </w:r>
      <w:r>
        <w:rPr>
          <w:rFonts w:ascii="仿宋_GB2312" w:hAnsi="仿宋" w:eastAsia="仿宋_GB2312"/>
          <w:bCs/>
          <w:sz w:val="28"/>
          <w:szCs w:val="28"/>
        </w:rPr>
        <w:t>本项目验收费用，由</w:t>
      </w:r>
      <w:r>
        <w:rPr>
          <w:rFonts w:hint="eastAsia" w:ascii="仿宋_GB2312" w:hAnsi="仿宋" w:eastAsia="仿宋_GB2312"/>
          <w:bCs/>
          <w:sz w:val="28"/>
          <w:szCs w:val="28"/>
        </w:rPr>
        <w:t>乙方</w:t>
      </w:r>
      <w:r>
        <w:rPr>
          <w:rFonts w:ascii="仿宋_GB2312" w:hAnsi="仿宋" w:eastAsia="仿宋_GB2312"/>
          <w:bCs/>
          <w:sz w:val="28"/>
          <w:szCs w:val="28"/>
        </w:rPr>
        <w:t>自行承担。</w:t>
      </w:r>
    </w:p>
    <w:p w14:paraId="36BD5615">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（二）每月服务期满后，由乙方向甲方递交验收通知书，经甲方确认后，组织乙方进行系统验收。验收合格后，填写项目验收单作为对本月服务的最终认可。</w:t>
      </w:r>
    </w:p>
    <w:p w14:paraId="02D6062B">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（三）验收依据：</w:t>
      </w:r>
    </w:p>
    <w:p w14:paraId="470FAC2C">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1、</w:t>
      </w:r>
      <w:r>
        <w:rPr>
          <w:rFonts w:ascii="仿宋_GB2312" w:hAnsi="仿宋" w:eastAsia="仿宋_GB2312"/>
          <w:bCs/>
          <w:sz w:val="28"/>
          <w:szCs w:val="28"/>
        </w:rPr>
        <w:t>本合同</w:t>
      </w:r>
      <w:r>
        <w:rPr>
          <w:rFonts w:hint="eastAsia" w:ascii="仿宋_GB2312" w:hAnsi="仿宋" w:eastAsia="仿宋_GB2312"/>
          <w:bCs/>
          <w:sz w:val="28"/>
          <w:szCs w:val="28"/>
        </w:rPr>
        <w:t>及附加</w:t>
      </w:r>
      <w:r>
        <w:rPr>
          <w:rFonts w:ascii="仿宋_GB2312" w:hAnsi="仿宋" w:eastAsia="仿宋_GB2312"/>
          <w:bCs/>
          <w:sz w:val="28"/>
          <w:szCs w:val="28"/>
        </w:rPr>
        <w:t>文本；</w:t>
      </w:r>
    </w:p>
    <w:p w14:paraId="06D77BB3">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2、磋商文件、成交供应商</w:t>
      </w:r>
      <w:r>
        <w:rPr>
          <w:rFonts w:ascii="仿宋_GB2312" w:hAnsi="仿宋" w:eastAsia="仿宋_GB2312"/>
          <w:bCs/>
          <w:sz w:val="28"/>
          <w:szCs w:val="28"/>
        </w:rPr>
        <w:t>的</w:t>
      </w:r>
      <w:r>
        <w:rPr>
          <w:rFonts w:hint="eastAsia" w:ascii="仿宋_GB2312" w:hAnsi="仿宋" w:eastAsia="仿宋_GB2312"/>
          <w:bCs/>
          <w:sz w:val="28"/>
          <w:szCs w:val="28"/>
        </w:rPr>
        <w:t>响应文件及澄清（承诺）函</w:t>
      </w:r>
      <w:r>
        <w:rPr>
          <w:rFonts w:ascii="仿宋_GB2312" w:hAnsi="仿宋" w:eastAsia="仿宋_GB2312"/>
          <w:bCs/>
          <w:sz w:val="28"/>
          <w:szCs w:val="28"/>
        </w:rPr>
        <w:t>；</w:t>
      </w:r>
    </w:p>
    <w:p w14:paraId="5E2BFBC3">
      <w:pPr>
        <w:autoSpaceDE w:val="0"/>
        <w:autoSpaceDN w:val="0"/>
        <w:adjustRightInd w:val="0"/>
        <w:snapToGrid w:val="0"/>
        <w:spacing w:line="360" w:lineRule="auto"/>
        <w:ind w:firstLine="560" w:firstLineChars="200"/>
        <w:rPr>
          <w:rFonts w:ascii="仿宋_GB2312" w:hAnsi="仿宋" w:eastAsia="仿宋_GB2312"/>
          <w:b/>
          <w:sz w:val="28"/>
          <w:szCs w:val="28"/>
        </w:rPr>
      </w:pPr>
      <w:r>
        <w:rPr>
          <w:rFonts w:hint="eastAsia" w:ascii="仿宋_GB2312" w:hAnsi="仿宋" w:eastAsia="仿宋_GB2312"/>
          <w:bCs/>
          <w:sz w:val="28"/>
          <w:szCs w:val="28"/>
        </w:rPr>
        <w:t>3、</w:t>
      </w:r>
      <w:r>
        <w:rPr>
          <w:rFonts w:ascii="仿宋_GB2312" w:hAnsi="仿宋" w:eastAsia="仿宋_GB2312"/>
          <w:bCs/>
          <w:sz w:val="28"/>
          <w:szCs w:val="28"/>
        </w:rPr>
        <w:t>国家相应的标准、规范。</w:t>
      </w:r>
    </w:p>
    <w:p w14:paraId="339E00E0">
      <w:pPr>
        <w:autoSpaceDE w:val="0"/>
        <w:autoSpaceDN w:val="0"/>
        <w:adjustRightInd w:val="0"/>
        <w:snapToGrid w:val="0"/>
        <w:spacing w:line="360" w:lineRule="auto"/>
        <w:ind w:firstLine="562" w:firstLineChars="200"/>
        <w:rPr>
          <w:rFonts w:ascii="仿宋_GB2312" w:hAnsi="仿宋" w:eastAsia="仿宋_GB2312"/>
          <w:b/>
          <w:bCs/>
          <w:sz w:val="28"/>
          <w:szCs w:val="28"/>
        </w:rPr>
      </w:pPr>
      <w:r>
        <w:rPr>
          <w:rFonts w:hint="eastAsia" w:ascii="仿宋_GB2312" w:hAnsi="仿宋" w:eastAsia="仿宋_GB2312"/>
          <w:b/>
          <w:bCs/>
          <w:sz w:val="28"/>
          <w:szCs w:val="28"/>
        </w:rPr>
        <w:t>六、违约责任</w:t>
      </w:r>
    </w:p>
    <w:p w14:paraId="15467A54">
      <w:pPr>
        <w:pStyle w:val="4"/>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（一）按《中华人民共和国民法典》中的相关条款执行。</w:t>
      </w:r>
    </w:p>
    <w:p w14:paraId="5FEA8A83">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（二）</w:t>
      </w:r>
      <w:r>
        <w:rPr>
          <w:rFonts w:ascii="仿宋_GB2312" w:hAnsi="仿宋" w:eastAsia="仿宋_GB2312"/>
          <w:bCs/>
          <w:sz w:val="28"/>
          <w:szCs w:val="28"/>
        </w:rPr>
        <w:t>未按合同要求提供</w:t>
      </w:r>
      <w:r>
        <w:rPr>
          <w:rFonts w:hint="eastAsia" w:ascii="仿宋_GB2312" w:hAnsi="仿宋" w:eastAsia="仿宋_GB2312"/>
          <w:bCs/>
          <w:sz w:val="28"/>
          <w:szCs w:val="28"/>
        </w:rPr>
        <w:t>服务或服务</w:t>
      </w:r>
      <w:r>
        <w:rPr>
          <w:rFonts w:ascii="仿宋_GB2312" w:hAnsi="仿宋" w:eastAsia="仿宋_GB2312"/>
          <w:bCs/>
          <w:sz w:val="28"/>
          <w:szCs w:val="28"/>
        </w:rPr>
        <w:t>质量不能满足</w:t>
      </w:r>
      <w:r>
        <w:rPr>
          <w:rFonts w:hint="eastAsia" w:ascii="仿宋_GB2312" w:hAnsi="仿宋" w:eastAsia="仿宋_GB2312"/>
          <w:bCs/>
          <w:sz w:val="28"/>
          <w:szCs w:val="28"/>
        </w:rPr>
        <w:t>本次采购</w:t>
      </w:r>
      <w:r>
        <w:rPr>
          <w:rFonts w:ascii="仿宋_GB2312" w:hAnsi="仿宋" w:eastAsia="仿宋_GB2312"/>
          <w:bCs/>
          <w:sz w:val="28"/>
          <w:szCs w:val="28"/>
        </w:rPr>
        <w:t>要求，</w:t>
      </w:r>
      <w:r>
        <w:rPr>
          <w:rFonts w:hint="eastAsia" w:ascii="仿宋_GB2312" w:hAnsi="仿宋" w:eastAsia="仿宋_GB2312"/>
          <w:bCs/>
          <w:sz w:val="28"/>
          <w:szCs w:val="28"/>
        </w:rPr>
        <w:t>甲方</w:t>
      </w:r>
      <w:r>
        <w:rPr>
          <w:rFonts w:ascii="仿宋_GB2312" w:hAnsi="仿宋" w:eastAsia="仿宋_GB2312"/>
          <w:bCs/>
          <w:sz w:val="28"/>
          <w:szCs w:val="28"/>
        </w:rPr>
        <w:t>会同监督机构、</w:t>
      </w:r>
      <w:r>
        <w:rPr>
          <w:rFonts w:hint="eastAsia" w:ascii="仿宋_GB2312" w:hAnsi="仿宋" w:eastAsia="仿宋_GB2312"/>
          <w:bCs/>
          <w:sz w:val="28"/>
          <w:szCs w:val="28"/>
        </w:rPr>
        <w:t>采购</w:t>
      </w:r>
      <w:r>
        <w:rPr>
          <w:rFonts w:ascii="仿宋_GB2312" w:hAnsi="仿宋" w:eastAsia="仿宋_GB2312"/>
          <w:bCs/>
          <w:sz w:val="28"/>
          <w:szCs w:val="28"/>
        </w:rPr>
        <w:t>代理机构有权终止合同和对</w:t>
      </w:r>
      <w:r>
        <w:rPr>
          <w:rFonts w:hint="eastAsia" w:ascii="仿宋_GB2312" w:hAnsi="仿宋" w:eastAsia="仿宋_GB2312"/>
          <w:bCs/>
          <w:sz w:val="28"/>
          <w:szCs w:val="28"/>
        </w:rPr>
        <w:t>乙方</w:t>
      </w:r>
      <w:r>
        <w:rPr>
          <w:rFonts w:ascii="仿宋_GB2312" w:hAnsi="仿宋" w:eastAsia="仿宋_GB2312"/>
          <w:bCs/>
          <w:sz w:val="28"/>
          <w:szCs w:val="28"/>
        </w:rPr>
        <w:t>违约行为进行追究，同时按政府采购法的有关规定进行相应的处罚</w:t>
      </w:r>
      <w:r>
        <w:rPr>
          <w:rFonts w:hint="eastAsia" w:ascii="仿宋_GB2312" w:hAnsi="仿宋" w:eastAsia="仿宋_GB2312"/>
          <w:bCs/>
          <w:sz w:val="28"/>
          <w:szCs w:val="28"/>
        </w:rPr>
        <w:t>。</w:t>
      </w:r>
    </w:p>
    <w:p w14:paraId="1C0DB5CB">
      <w:pPr>
        <w:autoSpaceDE w:val="0"/>
        <w:autoSpaceDN w:val="0"/>
        <w:adjustRightInd w:val="0"/>
        <w:snapToGrid w:val="0"/>
        <w:spacing w:line="360" w:lineRule="auto"/>
        <w:ind w:firstLine="562" w:firstLineChars="200"/>
        <w:rPr>
          <w:rFonts w:ascii="仿宋_GB2312" w:hAnsi="仿宋" w:eastAsia="仿宋_GB2312"/>
          <w:b/>
          <w:bCs/>
          <w:sz w:val="28"/>
          <w:szCs w:val="28"/>
        </w:rPr>
      </w:pPr>
      <w:r>
        <w:rPr>
          <w:rFonts w:hint="eastAsia" w:ascii="仿宋_GB2312" w:hAnsi="仿宋" w:eastAsia="仿宋_GB2312"/>
          <w:b/>
          <w:bCs/>
          <w:sz w:val="28"/>
          <w:szCs w:val="28"/>
        </w:rPr>
        <w:t>七、其它事项</w:t>
      </w:r>
    </w:p>
    <w:p w14:paraId="3D85F4BB">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（一）乙方</w:t>
      </w:r>
      <w:r>
        <w:rPr>
          <w:rFonts w:ascii="仿宋_GB2312" w:hAnsi="仿宋" w:eastAsia="仿宋_GB2312"/>
          <w:bCs/>
          <w:sz w:val="28"/>
          <w:szCs w:val="28"/>
        </w:rPr>
        <w:t>不得转让、分包给其它单位或个人。</w:t>
      </w:r>
    </w:p>
    <w:p w14:paraId="741ED595">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（二）乙方</w:t>
      </w:r>
      <w:r>
        <w:rPr>
          <w:rFonts w:ascii="仿宋_GB2312" w:hAnsi="仿宋" w:eastAsia="仿宋_GB2312"/>
          <w:bCs/>
          <w:sz w:val="28"/>
          <w:szCs w:val="28"/>
        </w:rPr>
        <w:t>的</w:t>
      </w:r>
      <w:r>
        <w:rPr>
          <w:rFonts w:hint="eastAsia" w:ascii="仿宋_GB2312" w:hAnsi="仿宋" w:eastAsia="仿宋_GB2312"/>
          <w:bCs/>
          <w:sz w:val="28"/>
          <w:szCs w:val="28"/>
        </w:rPr>
        <w:t>磋商响应文件</w:t>
      </w:r>
      <w:r>
        <w:rPr>
          <w:rFonts w:ascii="仿宋_GB2312" w:hAnsi="仿宋" w:eastAsia="仿宋_GB2312"/>
          <w:bCs/>
          <w:sz w:val="28"/>
          <w:szCs w:val="28"/>
        </w:rPr>
        <w:t>和承诺等内容将列入合同。</w:t>
      </w:r>
    </w:p>
    <w:p w14:paraId="3957896C">
      <w:pPr>
        <w:autoSpaceDE w:val="0"/>
        <w:autoSpaceDN w:val="0"/>
        <w:adjustRightInd w:val="0"/>
        <w:snapToGrid w:val="0"/>
        <w:spacing w:line="360" w:lineRule="auto"/>
        <w:ind w:firstLine="562" w:firstLineChars="200"/>
        <w:rPr>
          <w:rFonts w:ascii="仿宋_GB2312" w:hAnsi="仿宋" w:eastAsia="仿宋_GB2312"/>
          <w:b/>
          <w:sz w:val="28"/>
          <w:szCs w:val="28"/>
        </w:rPr>
      </w:pPr>
      <w:r>
        <w:rPr>
          <w:rFonts w:hint="eastAsia" w:ascii="仿宋_GB2312" w:hAnsi="仿宋" w:eastAsia="仿宋_GB2312"/>
          <w:b/>
          <w:sz w:val="28"/>
          <w:szCs w:val="28"/>
        </w:rPr>
        <w:t>八、合同争议解决的方式</w:t>
      </w:r>
    </w:p>
    <w:p w14:paraId="4DC29AB8">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本合同在履行过程中发生的争议，由甲、乙双方当事人协商解决，协商不成的按下列第</w:t>
      </w:r>
      <w:r>
        <w:rPr>
          <w:rFonts w:hint="eastAsia" w:ascii="仿宋_GB2312" w:hAnsi="仿宋" w:eastAsia="仿宋_GB2312"/>
          <w:bCs/>
          <w:sz w:val="28"/>
          <w:szCs w:val="28"/>
          <w:u w:val="single"/>
        </w:rPr>
        <w:t>（二）</w:t>
      </w:r>
      <w:r>
        <w:rPr>
          <w:rFonts w:hint="eastAsia" w:ascii="仿宋_GB2312" w:hAnsi="仿宋" w:eastAsia="仿宋_GB2312"/>
          <w:bCs/>
          <w:sz w:val="28"/>
          <w:szCs w:val="28"/>
        </w:rPr>
        <w:t>种方式解决：</w:t>
      </w:r>
    </w:p>
    <w:p w14:paraId="6C1E3D90">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（一）提交西安仲裁委员会仲裁；</w:t>
      </w:r>
    </w:p>
    <w:p w14:paraId="58B9A303">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（二）依法向甲方所在地人民法院起诉。</w:t>
      </w:r>
    </w:p>
    <w:p w14:paraId="0414CB51">
      <w:pPr>
        <w:autoSpaceDE w:val="0"/>
        <w:autoSpaceDN w:val="0"/>
        <w:adjustRightInd w:val="0"/>
        <w:snapToGrid w:val="0"/>
        <w:spacing w:line="360" w:lineRule="auto"/>
        <w:ind w:firstLine="562" w:firstLineChars="200"/>
        <w:rPr>
          <w:rFonts w:ascii="仿宋_GB2312" w:hAnsi="仿宋" w:eastAsia="仿宋_GB2312"/>
          <w:b/>
          <w:sz w:val="28"/>
          <w:szCs w:val="28"/>
        </w:rPr>
      </w:pPr>
      <w:r>
        <w:rPr>
          <w:rFonts w:hint="eastAsia" w:ascii="仿宋_GB2312" w:hAnsi="仿宋" w:eastAsia="仿宋_GB2312"/>
          <w:b/>
          <w:sz w:val="28"/>
          <w:szCs w:val="28"/>
        </w:rPr>
        <w:t>九、合同生效</w:t>
      </w:r>
    </w:p>
    <w:p w14:paraId="24B77566">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（一）本合同须经甲、乙双方的法定代表人（授权代表）在合同书上签字并加盖本单位公章后正式生效。</w:t>
      </w:r>
    </w:p>
    <w:p w14:paraId="2A3C2126">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（二）合同生效后，甲、乙双方须严格执行本合同条款的规定，全面履行合同，违者</w:t>
      </w:r>
      <w:bookmarkStart w:id="0" w:name="_GoBack"/>
      <w:bookmarkEnd w:id="0"/>
      <w:r>
        <w:rPr>
          <w:rFonts w:hint="eastAsia" w:ascii="仿宋_GB2312" w:hAnsi="仿宋" w:eastAsia="仿宋_GB2312"/>
          <w:bCs/>
          <w:sz w:val="28"/>
          <w:szCs w:val="28"/>
        </w:rPr>
        <w:t>按《中华人民共和国民法典》的有关规定承担相应责任。</w:t>
      </w:r>
    </w:p>
    <w:p w14:paraId="7F9077AD">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（三）本合同一式份，甲乙双方各执份。</w:t>
      </w:r>
    </w:p>
    <w:p w14:paraId="1DA60FBB">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 w:eastAsia="仿宋_GB2312"/>
          <w:bCs/>
          <w:sz w:val="28"/>
          <w:szCs w:val="28"/>
        </w:rPr>
        <w:t>（四）本合同如有未尽事宜，甲、乙双方协商解决</w:t>
      </w:r>
      <w:r>
        <w:rPr>
          <w:rFonts w:hint="eastAsia" w:ascii="仿宋_GB2312" w:hAnsi="仿宋_GB2312" w:eastAsia="仿宋_GB2312" w:cs="仿宋_GB2312"/>
          <w:bCs/>
          <w:sz w:val="28"/>
          <w:szCs w:val="28"/>
          <w:highlight w:val="none"/>
        </w:rPr>
        <w:t>。</w:t>
      </w:r>
    </w:p>
    <w:p w14:paraId="35C2C4FD">
      <w:pPr>
        <w:rPr>
          <w:rFonts w:ascii="仿宋_GB2312" w:hAnsi="仿宋_GB2312" w:eastAsia="仿宋_GB2312" w:cs="仿宋_GB2312"/>
          <w:sz w:val="28"/>
          <w:szCs w:val="28"/>
        </w:rPr>
      </w:pPr>
      <w:r>
        <w:rPr>
          <w:rFonts w:ascii="仿宋_GB2312" w:hAnsi="仿宋_GB2312" w:eastAsia="仿宋_GB2312" w:cs="仿宋_GB2312"/>
          <w:sz w:val="28"/>
          <w:szCs w:val="28"/>
        </w:rPr>
        <w:br w:type="page"/>
      </w:r>
    </w:p>
    <w:p w14:paraId="3B1E2E89">
      <w:pPr>
        <w:pStyle w:val="8"/>
        <w:tabs>
          <w:tab w:val="center" w:pos="4153"/>
          <w:tab w:val="right" w:pos="8306"/>
          <w:tab w:val="clear" w:pos="4140"/>
          <w:tab w:val="clear" w:pos="8300"/>
        </w:tabs>
        <w:rPr>
          <w:rFonts w:ascii="仿宋_GB2312" w:hAnsi="仿宋_GB2312" w:eastAsia="仿宋_GB2312" w:cs="仿宋_GB2312"/>
          <w:sz w:val="28"/>
          <w:szCs w:val="28"/>
        </w:rPr>
      </w:pPr>
    </w:p>
    <w:p w14:paraId="7F0C2E2D">
      <w:pPr>
        <w:pStyle w:val="5"/>
        <w:rPr>
          <w:rFonts w:ascii="仿宋_GB2312" w:hAnsi="仿宋_GB2312" w:eastAsia="仿宋_GB2312" w:cs="仿宋_GB2312"/>
          <w:sz w:val="28"/>
          <w:szCs w:val="28"/>
        </w:rPr>
      </w:pPr>
    </w:p>
    <w:tbl>
      <w:tblPr>
        <w:tblStyle w:val="13"/>
        <w:tblW w:w="0" w:type="auto"/>
        <w:jc w:val="center"/>
        <w:tblLayout w:type="fixed"/>
        <w:tblCellMar>
          <w:top w:w="0" w:type="dxa"/>
          <w:left w:w="108" w:type="dxa"/>
          <w:bottom w:w="0" w:type="dxa"/>
          <w:right w:w="108" w:type="dxa"/>
        </w:tblCellMar>
      </w:tblPr>
      <w:tblGrid>
        <w:gridCol w:w="4201"/>
        <w:gridCol w:w="4202"/>
      </w:tblGrid>
      <w:tr w14:paraId="77BFA85D">
        <w:tblPrEx>
          <w:tblCellMar>
            <w:top w:w="0" w:type="dxa"/>
            <w:left w:w="108" w:type="dxa"/>
            <w:bottom w:w="0" w:type="dxa"/>
            <w:right w:w="108" w:type="dxa"/>
          </w:tblCellMar>
        </w:tblPrEx>
        <w:trPr>
          <w:trHeight w:val="567" w:hRule="exact"/>
          <w:jc w:val="center"/>
        </w:trPr>
        <w:tc>
          <w:tcPr>
            <w:tcW w:w="4201" w:type="dxa"/>
            <w:vAlign w:val="center"/>
          </w:tcPr>
          <w:p w14:paraId="4F011BBB">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甲  方</w:t>
            </w:r>
          </w:p>
        </w:tc>
        <w:tc>
          <w:tcPr>
            <w:tcW w:w="4202" w:type="dxa"/>
            <w:vAlign w:val="center"/>
          </w:tcPr>
          <w:p w14:paraId="673CFDCC">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乙  方</w:t>
            </w:r>
          </w:p>
        </w:tc>
      </w:tr>
      <w:tr w14:paraId="4753CA75">
        <w:tblPrEx>
          <w:tblCellMar>
            <w:top w:w="0" w:type="dxa"/>
            <w:left w:w="108" w:type="dxa"/>
            <w:bottom w:w="0" w:type="dxa"/>
            <w:right w:w="108" w:type="dxa"/>
          </w:tblCellMar>
        </w:tblPrEx>
        <w:trPr>
          <w:trHeight w:val="567" w:hRule="exact"/>
          <w:jc w:val="center"/>
        </w:trPr>
        <w:tc>
          <w:tcPr>
            <w:tcW w:w="4201" w:type="dxa"/>
            <w:vAlign w:val="center"/>
          </w:tcPr>
          <w:p w14:paraId="6AC8F3B4">
            <w:pPr>
              <w:ind w:firstLine="840" w:firstLineChars="350"/>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（盖章）</w:t>
            </w:r>
          </w:p>
        </w:tc>
        <w:tc>
          <w:tcPr>
            <w:tcW w:w="4202" w:type="dxa"/>
            <w:vAlign w:val="center"/>
          </w:tcPr>
          <w:p w14:paraId="1736655A">
            <w:pPr>
              <w:ind w:firstLine="960" w:firstLineChars="400"/>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（盖章）</w:t>
            </w:r>
          </w:p>
        </w:tc>
      </w:tr>
      <w:tr w14:paraId="4E0E6611">
        <w:tblPrEx>
          <w:tblCellMar>
            <w:top w:w="0" w:type="dxa"/>
            <w:left w:w="108" w:type="dxa"/>
            <w:bottom w:w="0" w:type="dxa"/>
            <w:right w:w="108" w:type="dxa"/>
          </w:tblCellMar>
        </w:tblPrEx>
        <w:trPr>
          <w:trHeight w:val="567" w:hRule="exact"/>
          <w:jc w:val="center"/>
        </w:trPr>
        <w:tc>
          <w:tcPr>
            <w:tcW w:w="4201" w:type="dxa"/>
            <w:vAlign w:val="center"/>
          </w:tcPr>
          <w:p w14:paraId="4EFEA748">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 xml:space="preserve">地址： </w:t>
            </w:r>
          </w:p>
        </w:tc>
        <w:tc>
          <w:tcPr>
            <w:tcW w:w="4202" w:type="dxa"/>
            <w:vAlign w:val="center"/>
          </w:tcPr>
          <w:p w14:paraId="441B78FF">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地址：</w:t>
            </w:r>
          </w:p>
        </w:tc>
      </w:tr>
      <w:tr w14:paraId="598F8520">
        <w:tblPrEx>
          <w:tblCellMar>
            <w:top w:w="0" w:type="dxa"/>
            <w:left w:w="108" w:type="dxa"/>
            <w:bottom w:w="0" w:type="dxa"/>
            <w:right w:w="108" w:type="dxa"/>
          </w:tblCellMar>
        </w:tblPrEx>
        <w:trPr>
          <w:trHeight w:val="567" w:hRule="exact"/>
          <w:jc w:val="center"/>
        </w:trPr>
        <w:tc>
          <w:tcPr>
            <w:tcW w:w="4201" w:type="dxa"/>
            <w:vAlign w:val="center"/>
          </w:tcPr>
          <w:p w14:paraId="58049886">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邮编：</w:t>
            </w:r>
          </w:p>
        </w:tc>
        <w:tc>
          <w:tcPr>
            <w:tcW w:w="4202" w:type="dxa"/>
            <w:vAlign w:val="center"/>
          </w:tcPr>
          <w:p w14:paraId="490E7293">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邮编：</w:t>
            </w:r>
          </w:p>
        </w:tc>
      </w:tr>
      <w:tr w14:paraId="715BF674">
        <w:tblPrEx>
          <w:tblCellMar>
            <w:top w:w="0" w:type="dxa"/>
            <w:left w:w="108" w:type="dxa"/>
            <w:bottom w:w="0" w:type="dxa"/>
            <w:right w:w="108" w:type="dxa"/>
          </w:tblCellMar>
        </w:tblPrEx>
        <w:trPr>
          <w:trHeight w:val="567" w:hRule="exact"/>
          <w:jc w:val="center"/>
        </w:trPr>
        <w:tc>
          <w:tcPr>
            <w:tcW w:w="4201" w:type="dxa"/>
            <w:vAlign w:val="center"/>
          </w:tcPr>
          <w:p w14:paraId="6B8B3096">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 xml:space="preserve">法定代表人： </w:t>
            </w:r>
          </w:p>
        </w:tc>
        <w:tc>
          <w:tcPr>
            <w:tcW w:w="4202" w:type="dxa"/>
            <w:vAlign w:val="center"/>
          </w:tcPr>
          <w:p w14:paraId="0889409D">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法定代表人：</w:t>
            </w:r>
          </w:p>
        </w:tc>
      </w:tr>
      <w:tr w14:paraId="2F7F64BD">
        <w:tblPrEx>
          <w:tblCellMar>
            <w:top w:w="0" w:type="dxa"/>
            <w:left w:w="108" w:type="dxa"/>
            <w:bottom w:w="0" w:type="dxa"/>
            <w:right w:w="108" w:type="dxa"/>
          </w:tblCellMar>
        </w:tblPrEx>
        <w:trPr>
          <w:trHeight w:val="567" w:hRule="exact"/>
          <w:jc w:val="center"/>
        </w:trPr>
        <w:tc>
          <w:tcPr>
            <w:tcW w:w="4201" w:type="dxa"/>
            <w:vAlign w:val="center"/>
          </w:tcPr>
          <w:p w14:paraId="42971B91">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被授权代表：</w:t>
            </w:r>
          </w:p>
        </w:tc>
        <w:tc>
          <w:tcPr>
            <w:tcW w:w="4202" w:type="dxa"/>
            <w:vAlign w:val="center"/>
          </w:tcPr>
          <w:p w14:paraId="2D464E6D">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被授权代表：</w:t>
            </w:r>
          </w:p>
        </w:tc>
      </w:tr>
      <w:tr w14:paraId="3C535BEC">
        <w:tblPrEx>
          <w:tblCellMar>
            <w:top w:w="0" w:type="dxa"/>
            <w:left w:w="108" w:type="dxa"/>
            <w:bottom w:w="0" w:type="dxa"/>
            <w:right w:w="108" w:type="dxa"/>
          </w:tblCellMar>
        </w:tblPrEx>
        <w:trPr>
          <w:trHeight w:val="567" w:hRule="exact"/>
          <w:jc w:val="center"/>
        </w:trPr>
        <w:tc>
          <w:tcPr>
            <w:tcW w:w="4201" w:type="dxa"/>
            <w:vAlign w:val="center"/>
          </w:tcPr>
          <w:p w14:paraId="3A8FAF06">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电话：</w:t>
            </w:r>
          </w:p>
        </w:tc>
        <w:tc>
          <w:tcPr>
            <w:tcW w:w="4202" w:type="dxa"/>
            <w:vAlign w:val="center"/>
          </w:tcPr>
          <w:p w14:paraId="21D5E77A">
            <w:pPr>
              <w:ind w:left="720" w:hanging="720" w:hangingChars="300"/>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电话：</w:t>
            </w:r>
          </w:p>
        </w:tc>
      </w:tr>
      <w:tr w14:paraId="2A40E66F">
        <w:tblPrEx>
          <w:tblCellMar>
            <w:top w:w="0" w:type="dxa"/>
            <w:left w:w="108" w:type="dxa"/>
            <w:bottom w:w="0" w:type="dxa"/>
            <w:right w:w="108" w:type="dxa"/>
          </w:tblCellMar>
        </w:tblPrEx>
        <w:trPr>
          <w:trHeight w:val="567" w:hRule="exact"/>
          <w:jc w:val="center"/>
        </w:trPr>
        <w:tc>
          <w:tcPr>
            <w:tcW w:w="4201" w:type="dxa"/>
            <w:vAlign w:val="center"/>
          </w:tcPr>
          <w:p w14:paraId="15B10C45">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c>
          <w:tcPr>
            <w:tcW w:w="4202" w:type="dxa"/>
            <w:vAlign w:val="center"/>
          </w:tcPr>
          <w:p w14:paraId="5573E5BD">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r>
      <w:tr w14:paraId="37AD6EE6">
        <w:tblPrEx>
          <w:tblCellMar>
            <w:top w:w="0" w:type="dxa"/>
            <w:left w:w="108" w:type="dxa"/>
            <w:bottom w:w="0" w:type="dxa"/>
            <w:right w:w="108" w:type="dxa"/>
          </w:tblCellMar>
        </w:tblPrEx>
        <w:trPr>
          <w:trHeight w:val="567" w:hRule="exact"/>
          <w:jc w:val="center"/>
        </w:trPr>
        <w:tc>
          <w:tcPr>
            <w:tcW w:w="4201" w:type="dxa"/>
            <w:vAlign w:val="center"/>
          </w:tcPr>
          <w:p w14:paraId="4D660B23">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开户银行：</w:t>
            </w:r>
          </w:p>
        </w:tc>
        <w:tc>
          <w:tcPr>
            <w:tcW w:w="4202" w:type="dxa"/>
            <w:vAlign w:val="center"/>
          </w:tcPr>
          <w:p w14:paraId="6AA233E3">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开户银行：</w:t>
            </w:r>
          </w:p>
        </w:tc>
      </w:tr>
      <w:tr w14:paraId="6775EDBB">
        <w:tblPrEx>
          <w:tblCellMar>
            <w:top w:w="0" w:type="dxa"/>
            <w:left w:w="108" w:type="dxa"/>
            <w:bottom w:w="0" w:type="dxa"/>
            <w:right w:w="108" w:type="dxa"/>
          </w:tblCellMar>
        </w:tblPrEx>
        <w:trPr>
          <w:trHeight w:val="567" w:hRule="exact"/>
          <w:jc w:val="center"/>
        </w:trPr>
        <w:tc>
          <w:tcPr>
            <w:tcW w:w="4201" w:type="dxa"/>
            <w:vAlign w:val="center"/>
          </w:tcPr>
          <w:p w14:paraId="7F70A4E0">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日期：</w:t>
            </w:r>
          </w:p>
        </w:tc>
        <w:tc>
          <w:tcPr>
            <w:tcW w:w="4202" w:type="dxa"/>
            <w:vAlign w:val="center"/>
          </w:tcPr>
          <w:p w14:paraId="36A67747">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日期：</w:t>
            </w:r>
          </w:p>
        </w:tc>
      </w:tr>
    </w:tbl>
    <w:p w14:paraId="4BCB2D38"/>
    <w:sectPr>
      <w:headerReference r:id="rId3" w:type="default"/>
      <w:footerReference r:id="rId4" w:type="default"/>
      <w:pgSz w:w="11909" w:h="16841"/>
      <w:pgMar w:top="1417" w:right="1417" w:bottom="1417" w:left="1417" w:header="850" w:footer="10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3A90BF4D-1F1B-4081-BACA-DC24D5A308E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2" w:fontKey="{C922281D-FDB0-4A94-9DBE-B6C6219E6BC6}"/>
  </w:font>
  <w:font w:name="仿宋_GB2312">
    <w:panose1 w:val="02010609030101010101"/>
    <w:charset w:val="86"/>
    <w:family w:val="modern"/>
    <w:pitch w:val="default"/>
    <w:sig w:usb0="00000001" w:usb1="080E0000" w:usb2="00000000" w:usb3="00000000" w:csb0="00040000" w:csb1="00000000"/>
    <w:embedRegular r:id="rId3" w:fontKey="{DAC5872D-CA34-45E3-95EA-8E22B08B97F2}"/>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878FE8">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posOffset>2623820</wp:posOffset>
              </wp:positionH>
              <wp:positionV relativeFrom="paragraph">
                <wp:posOffset>-174625</wp:posOffset>
              </wp:positionV>
              <wp:extent cx="467360" cy="172720"/>
              <wp:effectExtent l="0" t="0" r="2540" b="11430"/>
              <wp:wrapNone/>
              <wp:docPr id="7" name="文本框 7"/>
              <wp:cNvGraphicFramePr/>
              <a:graphic xmlns:a="http://schemas.openxmlformats.org/drawingml/2006/main">
                <a:graphicData uri="http://schemas.microsoft.com/office/word/2010/wordprocessingShape">
                  <wps:wsp>
                    <wps:cNvSpPr txBox="1"/>
                    <wps:spPr>
                      <a:xfrm>
                        <a:off x="0" y="0"/>
                        <a:ext cx="467360" cy="172720"/>
                      </a:xfrm>
                      <a:prstGeom prst="rect">
                        <a:avLst/>
                      </a:prstGeom>
                      <a:noFill/>
                      <a:ln w="6350">
                        <a:noFill/>
                      </a:ln>
                    </wps:spPr>
                    <wps:txbx>
                      <w:txbxContent>
                        <w:p w14:paraId="0EFA8E70">
                          <w:pPr>
                            <w:pStyle w:val="8"/>
                            <w:tabs>
                              <w:tab w:val="center" w:pos="4153"/>
                              <w:tab w:val="right" w:pos="8306"/>
                              <w:tab w:val="clear" w:pos="4140"/>
                              <w:tab w:val="clear" w:pos="8300"/>
                            </w:tabs>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6.6pt;margin-top:-13.75pt;height:13.6pt;width:36.8pt;mso-position-horizontal-relative:margin;mso-wrap-style:none;z-index:251659264;mso-width-relative:page;mso-height-relative:page;" filled="f" stroked="f" coordsize="21600,21600" o:gfxdata="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svhy41gAAAAkBAAAPAAAAAAAAAAEAIAAAACIAAABkcnMvZG93bnJldi54bWxQSwEC&#10;FAAUAAAACACHTuJALEJu2i8CAABTBAAADgAAAAAAAAABACAAAAAlAQAAZHJzL2Uyb0RvYy54bWxQ&#10;SwUGAAAAAAYABgBZAQAAxgUAAAAA&#10;">
              <v:fill on="f" focussize="0,0"/>
              <v:stroke on="f" weight="0.5pt"/>
              <v:imagedata o:title=""/>
              <o:lock v:ext="edit" aspectratio="f"/>
              <v:textbox inset="0mm,0mm,0mm,0mm" style="mso-fit-shape-to-text:t;">
                <w:txbxContent>
                  <w:p w14:paraId="0EFA8E70">
                    <w:pPr>
                      <w:pStyle w:val="8"/>
                      <w:tabs>
                        <w:tab w:val="center" w:pos="4153"/>
                        <w:tab w:val="right" w:pos="8306"/>
                        <w:tab w:val="clear" w:pos="4140"/>
                        <w:tab w:val="clear" w:pos="8300"/>
                      </w:tabs>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7C11F6">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29BB6BC2"/>
    <w:rsid w:val="00032C77"/>
    <w:rsid w:val="00042B50"/>
    <w:rsid w:val="0005444A"/>
    <w:rsid w:val="00055484"/>
    <w:rsid w:val="00196F8D"/>
    <w:rsid w:val="002134F5"/>
    <w:rsid w:val="00240D10"/>
    <w:rsid w:val="002A2C9E"/>
    <w:rsid w:val="00301B8C"/>
    <w:rsid w:val="00333158"/>
    <w:rsid w:val="00366B06"/>
    <w:rsid w:val="005C205E"/>
    <w:rsid w:val="00680F55"/>
    <w:rsid w:val="006B2966"/>
    <w:rsid w:val="006E04B8"/>
    <w:rsid w:val="007377F8"/>
    <w:rsid w:val="007646EA"/>
    <w:rsid w:val="008B1E38"/>
    <w:rsid w:val="009015B2"/>
    <w:rsid w:val="009F1E94"/>
    <w:rsid w:val="00AD6F4F"/>
    <w:rsid w:val="00B35765"/>
    <w:rsid w:val="00C65FC8"/>
    <w:rsid w:val="00CC3A78"/>
    <w:rsid w:val="00CE21B5"/>
    <w:rsid w:val="00CF6641"/>
    <w:rsid w:val="00E8712A"/>
    <w:rsid w:val="00EF3803"/>
    <w:rsid w:val="00F47186"/>
    <w:rsid w:val="00FA5ACA"/>
    <w:rsid w:val="00FC1B97"/>
    <w:rsid w:val="01981D96"/>
    <w:rsid w:val="02680F16"/>
    <w:rsid w:val="06044D8E"/>
    <w:rsid w:val="063C3527"/>
    <w:rsid w:val="071938B9"/>
    <w:rsid w:val="0B186D4E"/>
    <w:rsid w:val="0CF24C32"/>
    <w:rsid w:val="0DA008CC"/>
    <w:rsid w:val="0EBB3568"/>
    <w:rsid w:val="0EC60B07"/>
    <w:rsid w:val="10332904"/>
    <w:rsid w:val="10CF4970"/>
    <w:rsid w:val="10F63A27"/>
    <w:rsid w:val="14561BE7"/>
    <w:rsid w:val="172B4FA4"/>
    <w:rsid w:val="192A37C4"/>
    <w:rsid w:val="198577DD"/>
    <w:rsid w:val="19966094"/>
    <w:rsid w:val="1CA80820"/>
    <w:rsid w:val="1D6E70FD"/>
    <w:rsid w:val="21665943"/>
    <w:rsid w:val="244871F4"/>
    <w:rsid w:val="25295AB7"/>
    <w:rsid w:val="274E2D73"/>
    <w:rsid w:val="27EF733B"/>
    <w:rsid w:val="292902AA"/>
    <w:rsid w:val="29BB6BC2"/>
    <w:rsid w:val="2C0F4050"/>
    <w:rsid w:val="2F1025C8"/>
    <w:rsid w:val="30104537"/>
    <w:rsid w:val="313868D1"/>
    <w:rsid w:val="325B49C3"/>
    <w:rsid w:val="326A7D77"/>
    <w:rsid w:val="33EF3E56"/>
    <w:rsid w:val="39094D4C"/>
    <w:rsid w:val="3CCE5611"/>
    <w:rsid w:val="3CE71A85"/>
    <w:rsid w:val="412A6A1E"/>
    <w:rsid w:val="414032D5"/>
    <w:rsid w:val="45FB0DB9"/>
    <w:rsid w:val="467E02E4"/>
    <w:rsid w:val="4EC118A7"/>
    <w:rsid w:val="4F1C52C5"/>
    <w:rsid w:val="4FDA2485"/>
    <w:rsid w:val="54F63A8A"/>
    <w:rsid w:val="57DF2953"/>
    <w:rsid w:val="5C7E1FD1"/>
    <w:rsid w:val="5D3B49BA"/>
    <w:rsid w:val="60E414E6"/>
    <w:rsid w:val="61E5759F"/>
    <w:rsid w:val="64A137DB"/>
    <w:rsid w:val="696F3399"/>
    <w:rsid w:val="734E36BE"/>
    <w:rsid w:val="741C09D0"/>
    <w:rsid w:val="74343D24"/>
    <w:rsid w:val="764F97C9"/>
    <w:rsid w:val="78C53AE4"/>
    <w:rsid w:val="7EB51055"/>
    <w:rsid w:val="7FB46DC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420"/>
    </w:pPr>
    <w:rPr>
      <w:szCs w:val="21"/>
    </w:rPr>
  </w:style>
  <w:style w:type="paragraph" w:styleId="4">
    <w:name w:val="annotation text"/>
    <w:basedOn w:val="1"/>
    <w:autoRedefine/>
    <w:qFormat/>
    <w:uiPriority w:val="0"/>
    <w:pPr>
      <w:jc w:val="left"/>
    </w:pPr>
  </w:style>
  <w:style w:type="paragraph" w:styleId="5">
    <w:name w:val="Body Text"/>
    <w:basedOn w:val="1"/>
    <w:next w:val="1"/>
    <w:autoRedefine/>
    <w:qFormat/>
    <w:uiPriority w:val="99"/>
    <w:pPr>
      <w:jc w:val="left"/>
    </w:pPr>
    <w:rPr>
      <w:kern w:val="0"/>
    </w:rPr>
  </w:style>
  <w:style w:type="paragraph" w:styleId="6">
    <w:name w:val="Plain Text"/>
    <w:basedOn w:val="1"/>
    <w:autoRedefine/>
    <w:qFormat/>
    <w:uiPriority w:val="0"/>
    <w:rPr>
      <w:rFonts w:ascii="宋体" w:hAnsi="Courier New"/>
      <w:kern w:val="0"/>
      <w:sz w:val="20"/>
    </w:rPr>
  </w:style>
  <w:style w:type="paragraph" w:styleId="7">
    <w:name w:val="Balloon Text"/>
    <w:basedOn w:val="1"/>
    <w:link w:val="18"/>
    <w:autoRedefine/>
    <w:qFormat/>
    <w:uiPriority w:val="0"/>
    <w:rPr>
      <w:sz w:val="18"/>
      <w:szCs w:val="18"/>
    </w:rPr>
  </w:style>
  <w:style w:type="paragraph" w:styleId="8">
    <w:name w:val="footer"/>
    <w:basedOn w:val="1"/>
    <w:autoRedefine/>
    <w:qFormat/>
    <w:uiPriority w:val="0"/>
    <w:pPr>
      <w:tabs>
        <w:tab w:val="center" w:pos="4140"/>
        <w:tab w:val="right" w:pos="8300"/>
      </w:tabs>
      <w:snapToGrid w:val="0"/>
      <w:jc w:val="left"/>
    </w:pPr>
    <w:rPr>
      <w:sz w:val="18"/>
      <w:szCs w:val="18"/>
    </w:rPr>
  </w:style>
  <w:style w:type="paragraph" w:styleId="9">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1">
    <w:name w:val="Normal (Web)"/>
    <w:basedOn w:val="1"/>
    <w:autoRedefine/>
    <w:qFormat/>
    <w:uiPriority w:val="99"/>
    <w:pPr>
      <w:widowControl/>
      <w:spacing w:before="100" w:beforeAutospacing="1" w:after="100" w:afterAutospacing="1"/>
      <w:jc w:val="left"/>
    </w:pPr>
    <w:rPr>
      <w:rFonts w:ascii="宋体" w:cs="宋体"/>
      <w:kern w:val="0"/>
      <w:sz w:val="24"/>
      <w:szCs w:val="24"/>
    </w:rPr>
  </w:style>
  <w:style w:type="paragraph" w:styleId="12">
    <w:name w:val="Body Text First Indent"/>
    <w:basedOn w:val="5"/>
    <w:autoRedefine/>
    <w:qFormat/>
    <w:uiPriority w:val="0"/>
    <w:pPr>
      <w:spacing w:line="360" w:lineRule="auto"/>
      <w:ind w:firstLine="420"/>
    </w:pPr>
    <w:rPr>
      <w:rFonts w:ascii="宋体" w:hAnsi="宋体"/>
      <w:sz w:val="24"/>
    </w:rPr>
  </w:style>
  <w:style w:type="table" w:styleId="14">
    <w:name w:val="Table Grid"/>
    <w:basedOn w:val="13"/>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annotation reference"/>
    <w:basedOn w:val="15"/>
    <w:autoRedefine/>
    <w:qFormat/>
    <w:uiPriority w:val="0"/>
    <w:rPr>
      <w:sz w:val="21"/>
      <w:szCs w:val="21"/>
    </w:rPr>
  </w:style>
  <w:style w:type="character" w:customStyle="1" w:styleId="17">
    <w:name w:val="页眉 Char"/>
    <w:basedOn w:val="15"/>
    <w:link w:val="9"/>
    <w:autoRedefine/>
    <w:qFormat/>
    <w:uiPriority w:val="0"/>
    <w:rPr>
      <w:kern w:val="2"/>
      <w:sz w:val="18"/>
      <w:szCs w:val="18"/>
    </w:rPr>
  </w:style>
  <w:style w:type="character" w:customStyle="1" w:styleId="18">
    <w:name w:val="批注框文本 Char"/>
    <w:basedOn w:val="15"/>
    <w:link w:val="7"/>
    <w:autoRedefine/>
    <w:qFormat/>
    <w:uiPriority w:val="0"/>
    <w:rPr>
      <w:kern w:val="2"/>
      <w:sz w:val="18"/>
      <w:szCs w:val="18"/>
    </w:rPr>
  </w:style>
  <w:style w:type="paragraph" w:customStyle="1" w:styleId="19">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 w:type="paragraph" w:customStyle="1" w:styleId="21">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4</Pages>
  <Words>1809</Words>
  <Characters>1826</Characters>
  <Lines>12</Lines>
  <Paragraphs>3</Paragraphs>
  <TotalTime>0</TotalTime>
  <ScaleCrop>false</ScaleCrop>
  <LinksUpToDate>false</LinksUpToDate>
  <CharactersWithSpaces>2043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2025-03-26T08:38:00Z</dcterms:created>
  <dc:creator>独舞的蒲公英</dc:creator>
  <cp:lastModifiedBy>陕西华采招标有限公司</cp:lastModifiedBy>
  <cp:lastPrinted>2022-09-28T14:56:00Z</cp:lastPrinted>
  <dcterms:modified xsi:type="dcterms:W3CDTF">2025-09-12T06:23:50Z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E79E879024B94D3FB100E7468F0D228F</vt:lpwstr>
  </property>
  <property fmtid="{D5CDD505-2E9C-101B-9397-08002B2CF9AE}" pid="4" name="KSOTemplateDocerSaveRecord">
    <vt:lpwstr>eyJoZGlkIjoiYjZjMDgwYWJjZmNiM2YzZmU4MTk1ZjZmYmY1NWU1OTEiLCJ1c2VySWQiOiI5MzY1NjA0ODAifQ==</vt:lpwstr>
  </property>
</Properties>
</file>