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版本号：JXRC-25082220250912001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自制剂委托加工服务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JXRC-250822</w:t>
      </w:r>
      <w:r>
        <w:br/>
      </w:r>
      <w:r>
        <w:br/>
      </w:r>
      <w:r>
        <w:br/>
      </w:r>
    </w:p>
    <w:p>
      <w:pPr>
        <w:pStyle w:val="null3"/>
        <w:jc w:val="center"/>
        <w:outlineLvl w:val="2"/>
      </w:pPr>
      <w:r>
        <w:rPr>
          <w:rFonts w:ascii="仿宋_GB2312" w:hAnsi="仿宋_GB2312" w:cs="仿宋_GB2312" w:eastAsia="仿宋_GB2312"/>
          <w:sz w:val="28"/>
          <w:b/>
        </w:rPr>
        <w:t>西安市第五医院</w:t>
      </w:r>
    </w:p>
    <w:p>
      <w:pPr>
        <w:pStyle w:val="null3"/>
        <w:jc w:val="center"/>
        <w:outlineLvl w:val="2"/>
      </w:pPr>
      <w:r>
        <w:rPr>
          <w:rFonts w:ascii="仿宋_GB2312" w:hAnsi="仿宋_GB2312" w:cs="仿宋_GB2312" w:eastAsia="仿宋_GB2312"/>
          <w:sz w:val="28"/>
          <w:b/>
        </w:rPr>
        <w:t>陕西嘉信瑞诚招标有限公司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陕西嘉信瑞诚招标有限公司</w:t>
      </w:r>
      <w:r>
        <w:rPr>
          <w:rFonts w:ascii="仿宋_GB2312" w:hAnsi="仿宋_GB2312" w:cs="仿宋_GB2312" w:eastAsia="仿宋_GB2312"/>
        </w:rPr>
        <w:t>（以下简称“代理机构”）受</w:t>
      </w:r>
      <w:r>
        <w:rPr>
          <w:rFonts w:ascii="仿宋_GB2312" w:hAnsi="仿宋_GB2312" w:cs="仿宋_GB2312" w:eastAsia="仿宋_GB2312"/>
        </w:rPr>
        <w:t>西安市第五医院</w:t>
      </w:r>
      <w:r>
        <w:rPr>
          <w:rFonts w:ascii="仿宋_GB2312" w:hAnsi="仿宋_GB2312" w:cs="仿宋_GB2312" w:eastAsia="仿宋_GB2312"/>
        </w:rPr>
        <w:t>委托，拟对</w:t>
      </w:r>
      <w:r>
        <w:rPr>
          <w:rFonts w:ascii="仿宋_GB2312" w:hAnsi="仿宋_GB2312" w:cs="仿宋_GB2312" w:eastAsia="仿宋_GB2312"/>
        </w:rPr>
        <w:t>自制剂委托加工服务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JXRC-250822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自制剂委托加工服务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西安市第五医院自制剂委托加工服务。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w:t>
      </w:r>
    </w:p>
    <w:p>
      <w:pPr>
        <w:pStyle w:val="null3"/>
      </w:pPr>
      <w:r>
        <w:rPr>
          <w:rFonts w:ascii="仿宋_GB2312" w:hAnsi="仿宋_GB2312" w:cs="仿宋_GB2312" w:eastAsia="仿宋_GB2312"/>
        </w:rPr>
        <w:t>2、供应商应有良好的财务状况：法人提供会计师事务所出具的完整的2024年度审计报告（成立时间至提交响应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w:t>
      </w:r>
    </w:p>
    <w:p>
      <w:pPr>
        <w:pStyle w:val="null3"/>
      </w:pPr>
      <w:r>
        <w:rPr>
          <w:rFonts w:ascii="仿宋_GB2312" w:hAnsi="仿宋_GB2312" w:cs="仿宋_GB2312" w:eastAsia="仿宋_GB2312"/>
        </w:rPr>
        <w:t>3、供应商应有依法缴纳税收的良好记录：法人提供自2024年8月1日以来至少三个月的纳税证明或完税证明(任意税种)，纳税证明或完税证明上应有代收机构或税务机关的公章或业务专用章；其他组织和自然人提供自2024年8月1日以来至少三个月缴纳税收的凭据；依法免税的供应商应提供相关文件证明。</w:t>
      </w:r>
    </w:p>
    <w:p>
      <w:pPr>
        <w:pStyle w:val="null3"/>
      </w:pPr>
      <w:r>
        <w:rPr>
          <w:rFonts w:ascii="仿宋_GB2312" w:hAnsi="仿宋_GB2312" w:cs="仿宋_GB2312" w:eastAsia="仿宋_GB2312"/>
        </w:rPr>
        <w:t>4、供应商应有依法缴纳社会保障资金的良好记录：提供自2024年8月1日以来至少三个月已缴纳的社会保障资金的证明（社会保障资金缴存单据或社保机构开具的社会保险参保缴费情况证明等)；依法不需要缴纳社会保障资金的供应商应提供相关证明文件。</w:t>
      </w:r>
    </w:p>
    <w:p>
      <w:pPr>
        <w:pStyle w:val="null3"/>
      </w:pPr>
      <w:r>
        <w:rPr>
          <w:rFonts w:ascii="仿宋_GB2312" w:hAnsi="仿宋_GB2312" w:cs="仿宋_GB2312" w:eastAsia="仿宋_GB2312"/>
        </w:rPr>
        <w:t>5、法定代表人/负责人授权书：法定代表人/负责人直接参加投标的，只须递交《法定代表人/负责人身份证明书》；法定代表人/负责人授权代表参加投标的，须递交《法定代表人/负责人授权委托书》及授权代表开标截止前近三个月社会保险缴纳证明。</w:t>
      </w:r>
    </w:p>
    <w:p>
      <w:pPr>
        <w:pStyle w:val="null3"/>
      </w:pPr>
      <w:r>
        <w:rPr>
          <w:rFonts w:ascii="仿宋_GB2312" w:hAnsi="仿宋_GB2312" w:cs="仿宋_GB2312" w:eastAsia="仿宋_GB2312"/>
        </w:rPr>
        <w:t>6、无重大违法记录：供应商须提供参加本次采购活动前3年内在经营活动中没有重大违法记录的书面声明。</w:t>
      </w:r>
    </w:p>
    <w:p>
      <w:pPr>
        <w:pStyle w:val="null3"/>
      </w:pPr>
      <w:r>
        <w:rPr>
          <w:rFonts w:ascii="仿宋_GB2312" w:hAnsi="仿宋_GB2312" w:cs="仿宋_GB2312" w:eastAsia="仿宋_GB2312"/>
        </w:rPr>
        <w:t>7、供应商应具有履行合同所必需的设备和专业技术能力：供应商须提供具有履行合同所必需的设备和专业技术能力的承诺书。</w:t>
      </w:r>
    </w:p>
    <w:p>
      <w:pPr>
        <w:pStyle w:val="null3"/>
      </w:pPr>
      <w:r>
        <w:rPr>
          <w:rFonts w:ascii="仿宋_GB2312" w:hAnsi="仿宋_GB2312" w:cs="仿宋_GB2312" w:eastAsia="仿宋_GB2312"/>
        </w:rPr>
        <w:t>8、许可证：供应商须具备有效的《药品生产许可证》。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西安市第五医院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西安市莲湖区西关正街112号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西安市第五医院经办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029-88621331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陕西嘉信瑞诚招标有限公司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西安市南稍门十字东南角大话南门壹中心1806室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曲慧、田颖琦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029-81541692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代理服务费收费标准：本项目招标代理服务费参考国家计委（计价格【2002】1980号）《招标代理服务收费管理暂行办法》规定的收费标准下浮20%收取。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西安市第五医院</w:t>
      </w:r>
      <w:r>
        <w:rPr>
          <w:rFonts w:ascii="仿宋_GB2312" w:hAnsi="仿宋_GB2312" w:cs="仿宋_GB2312" w:eastAsia="仿宋_GB2312"/>
        </w:rPr>
        <w:t>和</w:t>
      </w:r>
      <w:r>
        <w:rPr>
          <w:rFonts w:ascii="仿宋_GB2312" w:hAnsi="仿宋_GB2312" w:cs="仿宋_GB2312" w:eastAsia="仿宋_GB2312"/>
        </w:rPr>
        <w:t>陕西嘉信瑞诚招标有限公司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西安市第五医院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陕西嘉信瑞诚招标有限公司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西安市第五医院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陕西嘉信瑞诚招标有限公司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联系人：曲慧、田颖琦</w:t>
      </w:r>
    </w:p>
    <w:p>
      <w:pPr>
        <w:pStyle w:val="null3"/>
      </w:pPr>
      <w:r>
        <w:rPr>
          <w:rFonts w:ascii="仿宋_GB2312" w:hAnsi="仿宋_GB2312" w:cs="仿宋_GB2312" w:eastAsia="仿宋_GB2312"/>
        </w:rPr>
        <w:t>联系电话：029-81541692</w:t>
      </w:r>
    </w:p>
    <w:p>
      <w:pPr>
        <w:pStyle w:val="null3"/>
      </w:pPr>
      <w:r>
        <w:rPr>
          <w:rFonts w:ascii="仿宋_GB2312" w:hAnsi="仿宋_GB2312" w:cs="仿宋_GB2312" w:eastAsia="仿宋_GB2312"/>
        </w:rPr>
        <w:t>地址：西安市南稍门十字东南角大话南门壹中心1806室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4"/>
        </w:rPr>
        <w:t>本项目共包含以下一项服务内容：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化瘀消痹胶囊”的加工、检验及配送，（原料药材由甲方提供，</w:t>
      </w:r>
      <w:r>
        <w:rPr>
          <w:rFonts w:ascii="仿宋_GB2312" w:hAnsi="仿宋_GB2312" w:cs="仿宋_GB2312" w:eastAsia="仿宋_GB2312"/>
          <w:sz w:val="24"/>
          <w:color w:val="000000"/>
        </w:rPr>
        <w:t>每批原料药材加工不少于80万粒</w:t>
      </w:r>
      <w:r>
        <w:rPr>
          <w:rFonts w:ascii="仿宋_GB2312" w:hAnsi="仿宋_GB2312" w:cs="仿宋_GB2312" w:eastAsia="仿宋_GB2312"/>
          <w:sz w:val="24"/>
        </w:rPr>
        <w:t>）</w:t>
      </w:r>
      <w:r>
        <w:rPr>
          <w:rFonts w:ascii="仿宋_GB2312" w:hAnsi="仿宋_GB2312" w:cs="仿宋_GB2312" w:eastAsia="仿宋_GB2312"/>
          <w:sz w:val="24"/>
          <w:color w:val="000000"/>
        </w:rPr>
        <w:t>。</w:t>
      </w:r>
    </w:p>
    <w:tbl>
      <w:tblPr>
        <w:tblW w:w="0" w:type="auto"/>
        <w:tblBorders>
          <w:top w:val="none" w:color="000000" w:sz="4"/>
          <w:left w:val="none" w:color="000000" w:sz="4"/>
          <w:bottom w:val="none" w:color="000000" w:sz="4"/>
          <w:right w:val="none" w:color="000000" w:sz="4"/>
          <w:insideH w:val="none"/>
          <w:insideV w:val="none"/>
        </w:tblBorders>
      </w:tblPr>
      <w:tblGrid>
        <w:gridCol w:w="1186"/>
        <w:gridCol w:w="809"/>
        <w:gridCol w:w="1172"/>
        <w:gridCol w:w="1437"/>
        <w:gridCol w:w="2512"/>
        <w:gridCol w:w="1186"/>
      </w:tblGrid>
      <w:tr>
        <w:tc>
          <w:tcPr>
            <w:tcW w:type="dxa" w:w="118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制剂名称</w:t>
            </w:r>
          </w:p>
        </w:tc>
        <w:tc>
          <w:tcPr>
            <w:tcW w:type="dxa" w:w="80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剂型</w:t>
            </w:r>
          </w:p>
        </w:tc>
        <w:tc>
          <w:tcPr>
            <w:tcW w:type="dxa" w:w="117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规格</w:t>
            </w:r>
          </w:p>
        </w:tc>
        <w:tc>
          <w:tcPr>
            <w:tcW w:type="dxa" w:w="143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胶囊壳规格与型号</w:t>
            </w:r>
          </w:p>
        </w:tc>
        <w:tc>
          <w:tcPr>
            <w:tcW w:type="dxa" w:w="251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内包材材质与规格</w:t>
            </w:r>
          </w:p>
        </w:tc>
        <w:tc>
          <w:tcPr>
            <w:tcW w:type="dxa" w:w="118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采购限价（元/盒）</w:t>
            </w:r>
          </w:p>
        </w:tc>
      </w:tr>
      <w:tr>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化瘀消痹胶囊</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胶囊</w:t>
            </w: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0.35g*100</w:t>
            </w:r>
            <w:r>
              <w:rPr>
                <w:rFonts w:ascii="仿宋_GB2312" w:hAnsi="仿宋_GB2312" w:cs="仿宋_GB2312" w:eastAsia="仿宋_GB2312"/>
                <w:sz w:val="24"/>
                <w:color w:val="000000"/>
              </w:rPr>
              <w:t>粒/盒</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0</w:t>
            </w:r>
            <w:r>
              <w:rPr>
                <w:rFonts w:ascii="仿宋_GB2312" w:hAnsi="仿宋_GB2312" w:cs="仿宋_GB2312" w:eastAsia="仿宋_GB2312"/>
                <w:sz w:val="24"/>
                <w:vertAlign w:val="superscript"/>
              </w:rPr>
              <w:t>#</w:t>
            </w:r>
            <w:r>
              <w:rPr>
                <w:rFonts w:ascii="仿宋_GB2312" w:hAnsi="仿宋_GB2312" w:cs="仿宋_GB2312" w:eastAsia="仿宋_GB2312"/>
                <w:sz w:val="24"/>
              </w:rPr>
              <w:t>硬胶囊</w:t>
            </w:r>
          </w:p>
        </w:tc>
        <w:tc>
          <w:tcPr>
            <w:tcW w:type="dxa" w:w="2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 xml:space="preserve"> 120ml</w:t>
            </w:r>
            <w:r>
              <w:rPr>
                <w:rFonts w:ascii="仿宋_GB2312" w:hAnsi="仿宋_GB2312" w:cs="仿宋_GB2312" w:eastAsia="仿宋_GB2312"/>
                <w:sz w:val="24"/>
                <w:color w:val="000000"/>
              </w:rPr>
              <w:t>口服固体药用高密度聚乙烯瓶（压旋盖）</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11.77</w:t>
            </w:r>
          </w:p>
        </w:tc>
      </w:tr>
      <w:tr>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备注</w:t>
            </w:r>
          </w:p>
        </w:tc>
        <w:tc>
          <w:tcPr>
            <w:tcW w:type="dxa" w:w="7116"/>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外包装盒样式由采购人指定，每10盒进行塑封，每箱装100盒。</w:t>
            </w:r>
          </w:p>
        </w:tc>
      </w:tr>
    </w:tbl>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自制剂委托加工服务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标的名称：自制剂委托加工服务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一、技术要求</w:t>
            </w:r>
          </w:p>
          <w:p>
            <w:pPr>
              <w:pStyle w:val="null3"/>
              <w:ind w:left="210"/>
              <w:jc w:val="both"/>
            </w:pPr>
            <w:r>
              <w:rPr>
                <w:rFonts w:ascii="仿宋_GB2312" w:hAnsi="仿宋_GB2312" w:cs="仿宋_GB2312" w:eastAsia="仿宋_GB2312"/>
                <w:sz w:val="24"/>
              </w:rPr>
              <w:t>（一） 生产实力：</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根据采购人委托配制生产计划，按照采购人制剂品种工艺及质量标准完成采购人制剂品种的加工，委托生产的制剂剂型应当与其《药品生产质量管理规范》认证证书所载明的范围一致。且全程符合GMP管理相关要求；</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4"/>
              </w:rPr>
              <w:t>2.</w:t>
            </w:r>
            <w:r>
              <w:rPr>
                <w:rFonts w:ascii="仿宋_GB2312" w:hAnsi="仿宋_GB2312" w:cs="仿宋_GB2312" w:eastAsia="仿宋_GB2312"/>
                <w:sz w:val="24"/>
              </w:rPr>
              <w:t>供应商负责采购及运输生产中药制剂所使用的制剂辅料及包装材料，并具有对中药饮片、制剂辅料及包装材料按法定标准进行检验的能力，附检验用仪器设备列表。</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left="210"/>
              <w:jc w:val="both"/>
              <w:outlineLvl w:val="0"/>
            </w:pPr>
            <w:r>
              <w:rPr>
                <w:rFonts w:ascii="仿宋_GB2312" w:hAnsi="仿宋_GB2312" w:cs="仿宋_GB2312" w:eastAsia="仿宋_GB2312"/>
                <w:sz w:val="24"/>
                <w:b/>
              </w:rPr>
              <w:t>（二） 质量保证：</w:t>
            </w:r>
          </w:p>
          <w:p>
            <w:pPr>
              <w:pStyle w:val="null3"/>
            </w:pPr>
            <w:r>
              <w:rPr>
                <w:rFonts w:ascii="仿宋_GB2312" w:hAnsi="仿宋_GB2312" w:cs="仿宋_GB2312" w:eastAsia="仿宋_GB2312"/>
                <w:sz w:val="24"/>
              </w:rPr>
              <w:t>1.供应商有完善的管理体系，提供生产检测管理体系说明。</w:t>
            </w:r>
            <w:r>
              <w:rPr>
                <w:rFonts w:ascii="仿宋_GB2312" w:hAnsi="仿宋_GB2312" w:cs="仿宋_GB2312" w:eastAsia="仿宋_GB2312"/>
                <w:sz w:val="24"/>
              </w:rPr>
              <w:t>所用物料有稳定供应商，提供供应商的合法来源渠道证明文件（包括但不限于产品授权书、销售协议、代理证等）。</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4"/>
              </w:rPr>
              <w:t>2.</w:t>
            </w:r>
            <w:r>
              <w:rPr>
                <w:rFonts w:ascii="仿宋_GB2312" w:hAnsi="仿宋_GB2312" w:cs="仿宋_GB2312" w:eastAsia="仿宋_GB2312"/>
                <w:sz w:val="24"/>
              </w:rPr>
              <w:t>有相应的质量保证和质量控制体系，生产用检测设备齐全，可满足质量、产量的要求，请提供相关仪器的目录或照片等证明材料。</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4"/>
              </w:rPr>
              <w:t>3.</w:t>
            </w:r>
            <w:r>
              <w:rPr>
                <w:rFonts w:ascii="仿宋_GB2312" w:hAnsi="仿宋_GB2312" w:cs="仿宋_GB2312" w:eastAsia="仿宋_GB2312"/>
                <w:sz w:val="24"/>
              </w:rPr>
              <w:t>供应商负责采购及运输生产中药制剂所使用的制剂辅料及包装材料，并具有对中药饮片、制剂辅料及包装材料按法定标准进行检验的能力；</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sz w:val="24"/>
              </w:rPr>
              <w:t>4.</w:t>
            </w:r>
            <w:r>
              <w:rPr>
                <w:rFonts w:ascii="仿宋_GB2312" w:hAnsi="仿宋_GB2312" w:cs="仿宋_GB2312" w:eastAsia="仿宋_GB2312"/>
                <w:sz w:val="24"/>
              </w:rPr>
              <w:t>生产和检验记录应当完整准确，不得编造。配制所需的原料、辅料，应当符合药用要求或药品生产质量管理规范的有关要求。</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sz w:val="24"/>
              </w:rPr>
              <w:t>（三） 提供产品运输、装卸、存放过程中的突发状况应急处理措施；</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ind w:firstLine="240"/>
            </w:pPr>
            <w:r>
              <w:rPr>
                <w:rFonts w:ascii="仿宋_GB2312" w:hAnsi="仿宋_GB2312" w:cs="仿宋_GB2312" w:eastAsia="仿宋_GB2312"/>
                <w:sz w:val="24"/>
              </w:rPr>
              <w:t>（四） 配送：</w:t>
            </w:r>
          </w:p>
          <w:p>
            <w:pPr>
              <w:pStyle w:val="null3"/>
            </w:pPr>
            <w:r>
              <w:rPr>
                <w:rFonts w:ascii="仿宋_GB2312" w:hAnsi="仿宋_GB2312" w:cs="仿宋_GB2312" w:eastAsia="仿宋_GB2312"/>
                <w:sz w:val="24"/>
              </w:rPr>
              <w:t>供应商根据制剂品种质量要求进行配送服务，并保证药品配送的时效、质量及安全。</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4"/>
                <w:b/>
              </w:rPr>
              <w:t>二、服务要求</w:t>
            </w:r>
          </w:p>
          <w:p>
            <w:pPr>
              <w:pStyle w:val="null3"/>
            </w:pPr>
            <w:r>
              <w:rPr>
                <w:rFonts w:ascii="仿宋_GB2312" w:hAnsi="仿宋_GB2312" w:cs="仿宋_GB2312" w:eastAsia="仿宋_GB2312"/>
                <w:sz w:val="24"/>
              </w:rPr>
              <w:t>1.</w:t>
            </w:r>
            <w:r>
              <w:rPr>
                <w:rFonts w:ascii="仿宋_GB2312" w:hAnsi="仿宋_GB2312" w:cs="仿宋_GB2312" w:eastAsia="仿宋_GB2312"/>
                <w:sz w:val="24"/>
              </w:rPr>
              <w:t>对项目具有专业的人员配备及相关专业设备，有依法经过资格认定的药学技术人员、工程技术人员及相应的技术工人；可提供人员列表及设备列表。</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sz w:val="24"/>
              </w:rPr>
              <w:t>2.</w:t>
            </w:r>
            <w:r>
              <w:rPr>
                <w:rFonts w:ascii="仿宋_GB2312" w:hAnsi="仿宋_GB2312" w:cs="仿宋_GB2312" w:eastAsia="仿宋_GB2312"/>
                <w:sz w:val="24"/>
              </w:rPr>
              <w:t>有与制剂配制相适应的厂房、设施和卫生环境；有能对所配制制剂进行质量管理和质量检验的机构、人员及必要的仪器设备；有保证制剂质量的规章制度，并符合国务院药品监督管理部门依据《中华人民共和国药品管理法》制定的药品生产质量管理规范要求。</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sz w:val="24"/>
              </w:rPr>
              <w:t>3.</w:t>
            </w:r>
            <w:r>
              <w:rPr>
                <w:rFonts w:ascii="仿宋_GB2312" w:hAnsi="仿宋_GB2312" w:cs="仿宋_GB2312" w:eastAsia="仿宋_GB2312"/>
                <w:sz w:val="24"/>
              </w:rPr>
              <w:t>须完成“化瘀消痹胶囊”注册批件配制地址的变更及委托配制备案批件。</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本合同自签订之日起生效，有效期为一年。合同到期后或在合同有效期内，采购人按照合同项委托加工药品，当委托加工金额达预算总金额后，合同自动终止。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按采购人要求送至指定地点并进行验收。</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验收标准：自制剂注册质量标准。 验收方法：1.供应商将产品和合格报告单送至采购人指定地点后，采购人按随货同行单核对制剂品种数量、包装进行现场验收确认。采购人有权委托第三方对委托产品随机进行抽检复核，检验合格此抽检费用由采购人自行承担，不合格由供应商承担检测费用。 2.采购人对验收不合格的产品，采购人不支付相应货款，供应商对不合格产品予以召回,并重新提供相应数量的合格产品。不合格产品召回期间如供应商未能及时重新提供合格产品，因此造成的损失由供应商承担。 3.供应商收到第三方检测机构报告出具的不合格报告，根据报告结果，若为包装问题，则供应商负责召回不合格产品，并按采购人要求重新提供符合规定的合格产品，因此产生的全部费用（包括但不限于重新配送、重新检测的费用等）由供应商承担，若因采购人销售、保管不当，责任采购人承担。</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委托生产的药品经采购人验收合格后，按照实际验收量，每季度进行结算，采购人自收到发票之日起，10个工作日内结清款项</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 xml:space="preserve">3.4.1交货时间与方式 1、供应商有义务保存已检验合格的制剂产品及样品，并按照采购人配送计划数量为采购人以符合GSP标准的物流形式提供配送服务，配送运费由供应商承担。 2、供应商收到采购人订单后在40个日历日内完成生产并将合格产品送至采购人指定地。 3.4.2付款方式（采购文件中有表述不一致的地方以此处为准） 1、采购人通过银行转账方式将款项转入供应商银行账户。采购人仅认可供应商指定账户并向该账户付款，采购人有权拒绝向指定账户之外的任何账户付款，并且由此导致的付款延迟责任由供应商承担。 2、供应商要如实开具发票，不得变更开票内容，供应商开具发票出现税务争议时，供应商需承担税款、滞纳金、罚款等赔偿责任以及其他相关责任。 3、委托加工药品：采购人分批向供应商下达生产订单，采购人依据质量标准验收合格后，按照实际验收量，每季度进行结算，采购人自收到发票之日起，10个工作日内结清款项。 </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法人提供会计师事务所出具的完整的2024年度审计报告（成立时间至提交响应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供应商为具有独立承担民事责任能力的法人、其他组织或自然人</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企业法人应提供合法有效的标识有统一社会信用代码的营业执照；事业法人应提供事业单位法人证书；其他组织应提供合法登记证明文件；自然人应提供身份证。</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供应商应有良好的财务状况</w:t>
            </w:r>
          </w:p>
        </w:tc>
        <w:tc>
          <w:tcPr>
            <w:tcW w:type="dxa" w:w="3322"/>
          </w:tcPr>
          <w:p>
            <w:pPr>
              <w:pStyle w:val="null3"/>
            </w:pPr>
            <w:r>
              <w:rPr>
                <w:rFonts w:ascii="仿宋_GB2312" w:hAnsi="仿宋_GB2312" w:cs="仿宋_GB2312" w:eastAsia="仿宋_GB2312"/>
              </w:rPr>
              <w:t>法人提供会计师事务所出具的完整的2024年度审计报告（成立时间至提交响应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供应商应有依法缴纳税收的良好记录</w:t>
            </w:r>
          </w:p>
        </w:tc>
        <w:tc>
          <w:tcPr>
            <w:tcW w:type="dxa" w:w="3322"/>
          </w:tcPr>
          <w:p>
            <w:pPr>
              <w:pStyle w:val="null3"/>
            </w:pPr>
            <w:r>
              <w:rPr>
                <w:rFonts w:ascii="仿宋_GB2312" w:hAnsi="仿宋_GB2312" w:cs="仿宋_GB2312" w:eastAsia="仿宋_GB2312"/>
              </w:rPr>
              <w:t>法人提供自2024年8月1日以来至少三个月的纳税证明或完税证明(任意税种)，纳税证明或完税证明上应有代收机构或税务机关的公章或业务专用章；其他组织和自然人提供自2024年8月1日以来至少三个月缴纳税收的凭据；依法免税的供应商应提供相关文件证明。</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供应商应有依法缴纳社会保障资金的良好记录</w:t>
            </w:r>
          </w:p>
        </w:tc>
        <w:tc>
          <w:tcPr>
            <w:tcW w:type="dxa" w:w="3322"/>
          </w:tcPr>
          <w:p>
            <w:pPr>
              <w:pStyle w:val="null3"/>
            </w:pPr>
            <w:r>
              <w:rPr>
                <w:rFonts w:ascii="仿宋_GB2312" w:hAnsi="仿宋_GB2312" w:cs="仿宋_GB2312" w:eastAsia="仿宋_GB2312"/>
              </w:rPr>
              <w:t>提供自2024年8月1日以来至少三个月已缴纳的社会保障资金的证明（社会保障资金缴存单据或社保机构开具的社会保险参保缴费情况证明等)；依法不需要缴纳社会保障资金的供应商应提供相关证明文件。</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法定代表人/负责人授权书</w:t>
            </w:r>
          </w:p>
        </w:tc>
        <w:tc>
          <w:tcPr>
            <w:tcW w:type="dxa" w:w="3322"/>
          </w:tcPr>
          <w:p>
            <w:pPr>
              <w:pStyle w:val="null3"/>
            </w:pPr>
            <w:r>
              <w:rPr>
                <w:rFonts w:ascii="仿宋_GB2312" w:hAnsi="仿宋_GB2312" w:cs="仿宋_GB2312" w:eastAsia="仿宋_GB2312"/>
              </w:rPr>
              <w:t>法定代表人/负责人直接参加投标的，只须递交《法定代表人/负责人身份证明书》；法定代表人/负责人授权代表参加投标的，须递交《法定代表人/负责人授权委托书》及授权代表开标截止前近三个月社会保险缴纳证明。</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供应商须提供参加本次采购活动前3年内在经营活动中没有重大违法记录的书面声明。</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供应商应具有履行合同所必需的设备和专业技术能力</w:t>
            </w:r>
          </w:p>
        </w:tc>
        <w:tc>
          <w:tcPr>
            <w:tcW w:type="dxa" w:w="3322"/>
          </w:tcPr>
          <w:p>
            <w:pPr>
              <w:pStyle w:val="null3"/>
            </w:pPr>
            <w:r>
              <w:rPr>
                <w:rFonts w:ascii="仿宋_GB2312" w:hAnsi="仿宋_GB2312" w:cs="仿宋_GB2312" w:eastAsia="仿宋_GB2312"/>
              </w:rPr>
              <w:t>供应商须提供具有履行合同所必需的设备和专业技术能力的承诺书。</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许可证</w:t>
            </w:r>
          </w:p>
        </w:tc>
        <w:tc>
          <w:tcPr>
            <w:tcW w:type="dxa" w:w="3322"/>
          </w:tcPr>
          <w:p>
            <w:pPr>
              <w:pStyle w:val="null3"/>
            </w:pPr>
            <w:r>
              <w:rPr>
                <w:rFonts w:ascii="仿宋_GB2312" w:hAnsi="仿宋_GB2312" w:cs="仿宋_GB2312" w:eastAsia="仿宋_GB2312"/>
              </w:rPr>
              <w:t>供应商须具备有效的《药品生产许可证》。</w:t>
            </w:r>
          </w:p>
        </w:tc>
        <w:tc>
          <w:tcPr>
            <w:tcW w:type="dxa" w:w="1661"/>
          </w:tcPr>
          <w:p>
            <w:pPr>
              <w:pStyle w:val="null3"/>
            </w:pPr>
            <w:r>
              <w:rPr>
                <w:rFonts w:ascii="仿宋_GB2312" w:hAnsi="仿宋_GB2312" w:cs="仿宋_GB2312" w:eastAsia="仿宋_GB2312"/>
              </w:rPr>
              <w:t>供应商资格</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签章符合采购文件要求</w:t>
            </w:r>
          </w:p>
        </w:tc>
        <w:tc>
          <w:tcPr>
            <w:tcW w:type="dxa" w:w="3322"/>
          </w:tcPr>
          <w:p>
            <w:pPr>
              <w:pStyle w:val="null3"/>
            </w:pPr>
            <w:r>
              <w:rPr>
                <w:rFonts w:ascii="仿宋_GB2312" w:hAnsi="仿宋_GB2312" w:cs="仿宋_GB2312" w:eastAsia="仿宋_GB2312"/>
              </w:rPr>
              <w:t>供应商应当加盖供应商（法定名称）电子印章。</w:t>
            </w:r>
          </w:p>
        </w:tc>
        <w:tc>
          <w:tcPr>
            <w:tcW w:type="dxa" w:w="1661"/>
          </w:tcPr>
          <w:p>
            <w:pPr>
              <w:pStyle w:val="null3"/>
            </w:pPr>
            <w:r>
              <w:rPr>
                <w:rFonts w:ascii="仿宋_GB2312" w:hAnsi="仿宋_GB2312" w:cs="仿宋_GB2312" w:eastAsia="仿宋_GB2312"/>
              </w:rPr>
              <w:t>服务响应偏离表 商务响应偏离表 分项报价表 中小企业声明函 报价表 供应商业绩 响应文件封面 其他材料 残疾人福利性单位声明函 供应商基本信息 供应商企业关联关系声明函 服务方案 标的清单 供应商承诺书 响应函 供应商资格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商务要求响应</w:t>
            </w:r>
          </w:p>
        </w:tc>
        <w:tc>
          <w:tcPr>
            <w:tcW w:type="dxa" w:w="3322"/>
          </w:tcPr>
          <w:p>
            <w:pPr>
              <w:pStyle w:val="null3"/>
            </w:pPr>
            <w:r>
              <w:rPr>
                <w:rFonts w:ascii="仿宋_GB2312" w:hAnsi="仿宋_GB2312" w:cs="仿宋_GB2312" w:eastAsia="仿宋_GB2312"/>
              </w:rPr>
              <w:t>供应商必须满足采购文件的商务要求.</w:t>
            </w:r>
          </w:p>
        </w:tc>
        <w:tc>
          <w:tcPr>
            <w:tcW w:type="dxa" w:w="1661"/>
          </w:tcPr>
          <w:p>
            <w:pPr>
              <w:pStyle w:val="null3"/>
            </w:pPr>
            <w:r>
              <w:rPr>
                <w:rFonts w:ascii="仿宋_GB2312" w:hAnsi="仿宋_GB2312" w:cs="仿宋_GB2312" w:eastAsia="仿宋_GB2312"/>
              </w:rPr>
              <w:t>商务响应偏离表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单价报价不得超过单价采购限价。</w:t>
            </w:r>
          </w:p>
        </w:tc>
        <w:tc>
          <w:tcPr>
            <w:tcW w:type="dxa" w:w="1661"/>
          </w:tcPr>
          <w:p>
            <w:pPr>
              <w:pStyle w:val="null3"/>
            </w:pPr>
            <w:r>
              <w:rPr>
                <w:rFonts w:ascii="仿宋_GB2312" w:hAnsi="仿宋_GB2312" w:cs="仿宋_GB2312" w:eastAsia="仿宋_GB2312"/>
              </w:rPr>
              <w:t>分项报价表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供应商须提供参加政府采购活动承诺书（格式见响应文件格式附件）</w:t>
            </w:r>
          </w:p>
        </w:tc>
        <w:tc>
          <w:tcPr>
            <w:tcW w:type="dxa" w:w="1661"/>
          </w:tcPr>
          <w:p>
            <w:pPr>
              <w:pStyle w:val="null3"/>
            </w:pPr>
            <w:r>
              <w:rPr>
                <w:rFonts w:ascii="仿宋_GB2312" w:hAnsi="仿宋_GB2312" w:cs="仿宋_GB2312" w:eastAsia="仿宋_GB2312"/>
              </w:rPr>
              <w:t>供应商承诺书</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针对本项目提供详细的项目实施方案，包括但不限于： ①服务内容及标准；②项目整体实施方案；③项目进度计划安排；④技术资料整理方案；⑤产品检验方案；⑥产品配送方案。 二、评审标准 1、完整性：方案须全面，对评审内容中的各项要求有详细描述； 2、可实施性：切合本项目实际情况，实施步骤清晰、合理； 3、针对性：方案能够紧扣本项目所采购服务的实际情况，内容科学合理。 三、赋分依据（满分18分） 上述6项评审内容全部满足评审标准得18分，每有一个评审内容缺项扣3分，每有一项评审内容存在缺陷，扣（0-3）分，扣完为止。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一、评审内容 针对本项目提供详细的项目保障措施，包括但不限于：①保证制剂质量的规章制度；②物料合法的来源渠道（包括不限于：产品授权书、销售协议、代理证等）； ③工作配合的保障措施。 二、评审标准 1、完整性：方案须全面，对评审内容中的各项要求有详细描述； 2、可实施性：切合本项目实际情况，实施步骤清晰、合理； 3、针对性：方案能够紧扣本项目所采购服务的实际情况，内容科学合理。 三、赋分依据（满分9分） 上述3项评审内容全部满足评审标准得9分，每有一个评审内容缺项扣3分，每有一项评审内容存在缺陷，扣（0-3）分，扣完为止。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服务团队人员配备</w:t>
            </w:r>
          </w:p>
        </w:tc>
        <w:tc>
          <w:tcPr>
            <w:tcW w:type="dxa" w:w="2492"/>
          </w:tcPr>
          <w:p>
            <w:pPr>
              <w:pStyle w:val="null3"/>
            </w:pPr>
            <w:r>
              <w:rPr>
                <w:rFonts w:ascii="仿宋_GB2312" w:hAnsi="仿宋_GB2312" w:cs="仿宋_GB2312" w:eastAsia="仿宋_GB2312"/>
              </w:rPr>
              <w:t>一、评审内容 针对本项目特点提供服务团队人员配置，内容包含:①人员配置清单（包括但不限于依法经过资格认定的药学技术人员、工程技术人员及相应的技术工人）；②人员岗位分工、职责；③提供相关证明资料（包括但不限于人员身份证、资格证书、工作经验等）；④人员调度安排的保障措施。 二、评审标准 1、完整性：方案须全面，对评审内容中的各项要求有详细描述； 2、可实施性：切合本项目实际情况，实施步骤清晰、合理； 3、针对性：方案能够紧扣本项目所采购服务的实际情况，内容科学合理。 三、赋分标准(满分12分) 上述4项评审内容全部满足评审标准得12分，每有一个评审内容缺项扣3分，每有一项评审内容存在缺陷，扣（0-3）分，扣完为止。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设备设施配备</w:t>
            </w:r>
          </w:p>
        </w:tc>
        <w:tc>
          <w:tcPr>
            <w:tcW w:type="dxa" w:w="2492"/>
          </w:tcPr>
          <w:p>
            <w:pPr>
              <w:pStyle w:val="null3"/>
            </w:pPr>
            <w:r>
              <w:rPr>
                <w:rFonts w:ascii="仿宋_GB2312" w:hAnsi="仿宋_GB2312" w:cs="仿宋_GB2312" w:eastAsia="仿宋_GB2312"/>
              </w:rPr>
              <w:t>一、评审内容 针对本项目特点提供专业仪器设备设施配置，内容包含:①相关专业仪器设备设施配置清单；②与制剂配制相适应的厂房和卫生环境；③提供相关证明资料（包括但不限于设备购置发票、彩页及实拍照片等）。 二、评审标准 1、完整性：方案须全面，对评审内容中的各项要求有详细描述； 2、可实施性：切合本项目实际情况，实施步骤清晰、合理； 3、针对性：方案能够紧扣本项目所采购服务的实际情况，内容科学合理。 三、赋分标准(满分9分) 上述3项评审内容全部满足评审标准得9分，每有一个评审内容缺项扣3分，每有一项评审内容存在缺陷，扣（0-3）分，扣完为止。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服务承诺及响应方案</w:t>
            </w:r>
          </w:p>
        </w:tc>
        <w:tc>
          <w:tcPr>
            <w:tcW w:type="dxa" w:w="2492"/>
          </w:tcPr>
          <w:p>
            <w:pPr>
              <w:pStyle w:val="null3"/>
            </w:pPr>
            <w:r>
              <w:rPr>
                <w:rFonts w:ascii="仿宋_GB2312" w:hAnsi="仿宋_GB2312" w:cs="仿宋_GB2312" w:eastAsia="仿宋_GB2312"/>
              </w:rPr>
              <w:t>一、评审内容 结合本项目的实际，供应商提供服务承诺以及响应方案，内容包含：①服务承诺；②响应方案。 二、评审标准 1、完整性：方案须全面，对评审内容中的各项要求有详细描述； 2、可实施性：切合本项目实际情况，实施步骤清晰、合理； 3、针对性：方案能够紧扣本项目所采购服务的实际情况，内容科学合理。 三、赋分标准（满分6分） 上述2项评审内容全部满足评审标准得6分，每有一个评审内容缺项扣3分，每有一项评审内容存在缺陷，扣（0-3）分，扣完为止。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一、评审内容 供应商有详细的应急措施和解决方案。内容包含：①供应商内部管理流程和人员调度等环节的紧急处理方案；②突发紧急情况时的应急方案。 二、评审标准 1、完整性：方案须全面，对评审内容中的各项要求有详细描述； 2、可实施性：切合本项目实际情况，实施步骤清晰、合理； 3、针对性：方案能够紧扣本项目所采购服务的实际情况，内容科学合理。 三、赋分依据（满分6分） 上述2项评审内容全部满足评审标准得6分，每有一个评审内容缺项扣3分，每有一项评审内容存在缺陷，扣（0-3）分，扣完为止。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提供2022年8月1日至今供应商承担的同类项目业绩（以响应文件中提供的完整合同复印件为准），每提供1份得2分，最多得10分。未提供或提供材料不全不得分。（提供合同复印件并进行电子签章）。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价格分统一采用低价优先法计算，即满足采购文件要求且报价最低的报价为评标基准价，其价格分为满分。其他供应商的价格分统一按照下列公式计算：报价得分=(评标基准价／投标报价)×30。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详见附件：服务响应偏离表</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详见附件：供应商基本信息</w:t>
      </w:r>
    </w:p>
    <w:p>
      <w:pPr>
        <w:pStyle w:val="null3"/>
        <w:ind w:firstLine="960"/>
      </w:pPr>
      <w:r>
        <w:rPr>
          <w:rFonts w:ascii="仿宋_GB2312" w:hAnsi="仿宋_GB2312" w:cs="仿宋_GB2312" w:eastAsia="仿宋_GB2312"/>
        </w:rPr>
        <w:t>详见附件：供应商企业关联关系声明函</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详见附件：供应商业绩</w:t>
      </w:r>
    </w:p>
    <w:p>
      <w:pPr>
        <w:pStyle w:val="null3"/>
        <w:ind w:firstLine="960"/>
      </w:pPr>
      <w:r>
        <w:rPr>
          <w:rFonts w:ascii="仿宋_GB2312" w:hAnsi="仿宋_GB2312" w:cs="仿宋_GB2312" w:eastAsia="仿宋_GB2312"/>
        </w:rPr>
        <w:t>详见附件：供应商资格</w:t>
      </w:r>
    </w:p>
    <w:p>
      <w:pPr>
        <w:pStyle w:val="null3"/>
        <w:ind w:firstLine="960"/>
      </w:pPr>
      <w:r>
        <w:rPr>
          <w:rFonts w:ascii="仿宋_GB2312" w:hAnsi="仿宋_GB2312" w:cs="仿宋_GB2312" w:eastAsia="仿宋_GB2312"/>
        </w:rPr>
        <w:t>详见附件：其他材料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