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版本号：0617-2522GZ258620250912001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2025年门诊楼消防排烟系统隐患整改项目(二次)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0617-2522GZ2586</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2025年门诊楼消防排烟系统隐患整改项目(二次)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0617-2522GZ2586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2025年门诊楼消防排烟系统隐患整改项目(二次)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西安市中心医院2025年门诊楼消防排烟系统隐患整改项目，门诊楼地上11层，地下1层，建筑面积23496.69平方米.为了实现楼内排烟送风能够正使用,对排烟送风系统进行维修改造。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采购包1（2025年门诊楼消防排烟系统隐患整改项目）：属于专门面向中小企业采购。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证书：供应商应具备建设行政主管部门核发有效的建筑工程施工总承包二级及以上资质或消防设施工程专业承包贰级及以上资质及建筑装修装饰工程专业承包二级以上资质，同时具备合法有效的安全生产许可证。</w:t>
      </w:r>
    </w:p>
    <w:p>
      <w:pPr>
        <w:pStyle w:val="null3"/>
      </w:pPr>
      <w:r>
        <w:rPr>
          <w:rFonts w:ascii="仿宋_GB2312" w:hAnsi="仿宋_GB2312" w:cs="仿宋_GB2312" w:eastAsia="仿宋_GB2312"/>
        </w:rPr>
        <w:t>2、拟派项目负责人资质和专业要求：拟派项目经理具备建筑工程专业注册建造师二级及以上（含二级）执业资格，并具有有效的安全生产考核合格证（B 证）,在本单位注册且无在建工程。</w:t>
      </w:r>
    </w:p>
    <w:p>
      <w:pPr>
        <w:pStyle w:val="null3"/>
      </w:pPr>
      <w:r>
        <w:rPr>
          <w:rFonts w:ascii="仿宋_GB2312" w:hAnsi="仿宋_GB2312" w:cs="仿宋_GB2312" w:eastAsia="仿宋_GB2312"/>
        </w:rPr>
        <w:t>3、法定代表人授权书及被授权人本单位证明：供应商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p>
      <w:pPr>
        <w:pStyle w:val="null3"/>
      </w:pPr>
      <w:r>
        <w:rPr>
          <w:rFonts w:ascii="仿宋_GB2312" w:hAnsi="仿宋_GB2312" w:cs="仿宋_GB2312" w:eastAsia="仿宋_GB2312"/>
        </w:rPr>
        <w:t>4、信用查询：供应商不得为“信用中国”网站（www.creditchina.gov.cn）列入失信被执行人、重大税收违法失信主体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程佳、杨凡、张勃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改革委员会办公厅颁发的《关于招标代理服务收费有关问题的通知》（发改办价格[2003]857号）*80%的有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1,399,800.00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2025年西安市中心医院门诊楼消防排烟系统隐患整改项目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标的名称：2025年西安市中心医院门诊楼消防排烟系统隐患整改项目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西安市中心医院</w:t>
            </w:r>
            <w:r>
              <w:rPr>
                <w:rFonts w:ascii="仿宋_GB2312" w:hAnsi="仿宋_GB2312" w:cs="仿宋_GB2312" w:eastAsia="仿宋_GB2312"/>
                <w:sz w:val="24"/>
              </w:rPr>
              <w:t>2025年门诊楼消防排烟系统隐患整改项目</w:t>
            </w:r>
            <w:r>
              <w:rPr>
                <w:rFonts w:ascii="仿宋_GB2312" w:hAnsi="仿宋_GB2312" w:cs="仿宋_GB2312" w:eastAsia="仿宋_GB2312"/>
                <w:sz w:val="24"/>
              </w:rPr>
              <w:t>,本项目主要对楼内排烟设施进行拆除；对楼内排烟设施进行安装联动；排烟送风提升工作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）工程地点：西安市新城区西五路</w:t>
            </w:r>
            <w:r>
              <w:rPr>
                <w:rFonts w:ascii="仿宋_GB2312" w:hAnsi="仿宋_GB2312" w:cs="仿宋_GB2312" w:eastAsia="仿宋_GB2312"/>
                <w:sz w:val="24"/>
              </w:rPr>
              <w:t>161号。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）计划工期：自进场之日起</w:t>
            </w:r>
            <w:r>
              <w:rPr>
                <w:rFonts w:ascii="仿宋_GB2312" w:hAnsi="仿宋_GB2312" w:cs="仿宋_GB2312" w:eastAsia="仿宋_GB2312"/>
                <w:sz w:val="24"/>
              </w:rPr>
              <w:t>90日内竣工。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）缺陷责任期（与质保金的退还有关）：见《建设工程质量保证金管理暂行办法》，一般不超过</w:t>
            </w:r>
            <w:r>
              <w:rPr>
                <w:rFonts w:ascii="仿宋_GB2312" w:hAnsi="仿宋_GB2312" w:cs="仿宋_GB2312" w:eastAsia="仿宋_GB2312"/>
                <w:sz w:val="24"/>
              </w:rPr>
              <w:t>2年。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）质量保修期（与质保金的退还无关）：</w:t>
            </w:r>
            <w:r>
              <w:rPr>
                <w:rFonts w:ascii="仿宋_GB2312" w:hAnsi="仿宋_GB2312" w:cs="仿宋_GB2312" w:eastAsia="仿宋_GB2312"/>
                <w:sz w:val="24"/>
              </w:rPr>
              <w:t>验收合格之日起【壹】年。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计价依据《陕西省建设工程工程量清单计价标准</w:t>
            </w:r>
            <w:r>
              <w:rPr>
                <w:rFonts w:ascii="仿宋_GB2312" w:hAnsi="仿宋_GB2312" w:cs="仿宋_GB2312" w:eastAsia="仿宋_GB2312"/>
                <w:sz w:val="24"/>
              </w:rPr>
              <w:t>2025》、</w:t>
            </w:r>
          </w:p>
          <w:p>
            <w:pPr>
              <w:pStyle w:val="null3"/>
              <w:jc w:val="left"/>
            </w:pPr>
            <w:r>
              <w:rPr>
                <w:rFonts w:ascii="仿宋_GB2312" w:hAnsi="仿宋_GB2312" w:cs="仿宋_GB2312" w:eastAsia="仿宋_GB2312"/>
                <w:sz w:val="24"/>
                <w:color w:val="000000"/>
              </w:rPr>
              <w:t>《陕西省房屋建筑与装饰工程工程量计算标准（</w:t>
            </w:r>
            <w:r>
              <w:rPr>
                <w:rFonts w:ascii="仿宋_GB2312" w:hAnsi="仿宋_GB2312" w:cs="仿宋_GB2312" w:eastAsia="仿宋_GB2312"/>
                <w:sz w:val="24"/>
                <w:color w:val="000000"/>
              </w:rPr>
              <w:t>2025）》、《陕西省房屋建筑与装饰工程基价表（2025）》、《陕西省房屋建筑与装饰工程消耗量定额（2025）》及配套费用定额、相关取费文件，报价以给定的工程量清单及现场情况自主编报</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rPr>
              <w:t>（6）</w:t>
            </w:r>
            <w:r>
              <w:rPr>
                <w:rFonts w:ascii="仿宋_GB2312" w:hAnsi="仿宋_GB2312" w:cs="仿宋_GB2312" w:eastAsia="仿宋_GB2312"/>
                <w:sz w:val="24"/>
                <w:color w:val="000000"/>
              </w:rPr>
              <w:t>施工要求：在施工期间，中标供应商必须注意院内人员安全，加强安全措施，并对施工人员进行安全教育。施工人员必须持证上岗。因施工人工作的特殊性，要求中标供应商在施工中做到封闭性施工。不得影响医护人员和患者正常就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质量验收标准或规范：现行的国家标准或国家行政部门颁布的法律法规、规章制度等。</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中标供应商必须注意院内人员安全，加强安全措施，并对施工人员进行安全教育。施工人员必须持证上岗。因施工人工作的特殊性，要求中标供应商在施工中做到封闭性施工。不得影响医护人员和患者正常就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无付预款，工程竣工、验收合格后，支付合同款的80%，审计结束后付至审定价的95%，质保期满无质量问题后，一次性按审计结果付清余款。乙方应在甲方每次付款前提供等额合规发票，否则甲方有权拒付合同款项，且不承担任何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以上2种形式的资料提供任何一种即可。 （三）具有履行合同所必需的设备和专业技术能力。提供声明文件。 （四）具有依法缴纳税收的良好记录。提供缴费所属日期为投标截止时间前12个月内任意一个月（投标截止时间当月不计入）的增值税（或所得税）缴费凭据或税务机关出具的完税证明/在法规范围内不需提供的应出具书面说明和证明文件；/或具有依法缴纳税收的诚信承诺；以上二种形式的资料提供任何一种即可。 （五）具有依法缴纳社会保障资金的良好记录。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承诺；以上二种形式的资料提供任何一种即可。 （六）参加政府采购活动前3年内在经营活动中没有重大违法记录的书面声明。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供应商应具备建设行政主管部门核发有效的建筑工程施工总承包二级及以上资质或消防设施工程专业承包贰级及以上资质及建筑装修装饰工程专业承包二级以上资质，同时具备合法有效的安全生产许可证。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拟派项目经理具备建筑工程专业注册建造师二级及以上（含二级）执业资格，并具有有效的安全生产考核合格证（B 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法定代表人授权书及被授权人本单位证明</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供应商应授权合法的人员参加投标，其中法定代表人直接参加的须出具法定代表人身份证并与营业执照上信息一致，法定代表人授权代表参加的须出具法定代表人授权书及被授权人本单位证明 (近6个月内任意1个月社保缴纳证明)。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投标文件是否按照招标文件要求的格式编写。投标文件的签署、加盖印章是否有效。投标报价是否未超过最高限价；投标报价有效期是否符合招标文件的要求；是否满足招标文件的实质性要求。</w:t>
            </w:r>
          </w:p>
        </w:tc>
        <w:tc>
          <w:tcPr>
            <w:tcW w:type="dxa" w:w="1661"/>
          </w:tcPr>
          <w:p>
            <w:pPr>
              <w:pStyle w:val="null3"/>
            </w:pPr>
            <w:r>
              <w:rPr>
                <w:rFonts w:ascii="仿宋_GB2312" w:hAnsi="仿宋_GB2312" w:cs="仿宋_GB2312" w:eastAsia="仿宋_GB2312"/>
              </w:rPr>
              <w:t>响应文件封面 响应方案说明书..docx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供应商提供针对本项目各主要部分施工技术方案及措施。 （1）方法符合项目实际，技术措施工艺先进，方法科学合理、可行，能指导具体施工并确保安全得 9.1-12 分； （2）施工总体组织基本合理、可行，具有一定的可实施性得4.1-9分； （3）施工方案组织不够科学合理、可实施性不强，针对性较差，养护、预防措施不全面或没有，得0-4分。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供应商针对本项目应有专门的质量技术管理班子和制度。 （1）人员配备合理，制度健全；主要工序有质量技术保证措施和手段，自控体系完整，能有效保证技术质量，且承诺的质量标准达到招标要求得 8.1-11分； （2）质量保证措施完整，有一定的可行性，能保证服务质量得4.1-8分； （3）质量保证措施不够完善全面，可行性较差，缺少监督考核机制，得0-4分。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供应商针对本项目的要求和特点提出安全生产组织方案、安全管理体系，环境保护、文明施工的技术组织措施。 （1）安全管理人员配备合理，制度健全；各道工序安全技术措施针对性强，符合实际且满足有关安全技术标准要求得8.1-11分； （2）方案和措施描述具有针对性，考虑较为详细全面，存在一定不足，但不影响方案的实施，得4.1-8分； （3）提供的方案内容不详尽或不适用于本项目得0-4分。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供应商在施工工艺、施工方法、材料选用、劳动力安排、机械设备、技术等方面有保证工期的具体措施且措施得当；有控制工期的施工进度计划；有施工总进度表或施工网络图。 （1）各项计划图表编制完善，安排科学合理，符合本项目施工实际要求得8.1-11 分 （2）保证措施描述具有针对性，工期有保障得4.1-8分； （3）各项计划表和措施描述较为宽泛，无针对性，考虑不够全面得0-4分。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供应商针对本项目提供项目风险预测与防范、事故应急预案。 （1）项目风险预测与防范方案、风险预测与防范人员及机械设备配备分配合理，事故应急预案周全得7.1-10分； （2）提供的方案内容基本满足需求，描述完整得3.1-7分； 提供的方案内容不详尽或不适用于本项目得0-3分。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提供拟投入人员清单、组织架构、相关人员简历、证书、服务经验等。 （1）能够提供专业人员配置计划（包括人员数量、技术能力、类似经验等相关内容）所配备人员整体合理，贴合项目实际需求，能够保证服务质量，得7.1-10分； （2）所配备人员整体较为合理，基本能够保证完成项目实施得3.1-7分； 人员配备不完整，人员资料不齐全的0-3分。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 2022年至今的类似业绩证明材料，时间以合同签订日期为准，（文件中附合同复印件），每提供一项上述业绩的得1分，最高得5分。证明材料不全的不予赋分。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1.经评审合格的磋商响应文件，其磋商最终报价为有效投标报价进行价格评审。 2.有效最低报价为基准价得30分。 3.按（有效最低报价/有效磋商报价）×30的公式计算其得分。 4.磋商报价不完整的，不进入评标基准价的计算，本项得0分。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详见附件：响应方案说明书..docx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