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版本号：ZHJ-2025-01220250916001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2025年西安市数字化城市管理信息处置中心西安市建筑垃圾监管平台延续运维项目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ZHJ-2025-012</w:t>
      </w:r>
      <w:r>
        <w:br/>
      </w:r>
      <w:r>
        <w:br/>
      </w:r>
      <w:r>
        <w:br/>
      </w:r>
    </w:p>
    <w:p>
      <w:pPr>
        <w:pStyle w:val="null3"/>
        <w:jc w:val="center"/>
        <w:outlineLvl w:val="2"/>
      </w:pPr>
      <w:r>
        <w:rPr>
          <w:rFonts w:ascii="仿宋_GB2312" w:hAnsi="仿宋_GB2312" w:cs="仿宋_GB2312" w:eastAsia="仿宋_GB2312"/>
          <w:sz w:val="28"/>
          <w:b/>
        </w:rPr>
        <w:t>西安市智慧城管指挥中心</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西安市智慧城管指挥中心</w:t>
      </w:r>
      <w:r>
        <w:rPr>
          <w:rFonts w:ascii="仿宋_GB2312" w:hAnsi="仿宋_GB2312" w:cs="仿宋_GB2312" w:eastAsia="仿宋_GB2312"/>
        </w:rPr>
        <w:t>委托，拟对</w:t>
      </w:r>
      <w:r>
        <w:rPr>
          <w:rFonts w:ascii="仿宋_GB2312" w:hAnsi="仿宋_GB2312" w:cs="仿宋_GB2312" w:eastAsia="仿宋_GB2312"/>
        </w:rPr>
        <w:t>2025年西安市数字化城市管理信息处置中心西安市建筑垃圾监管平台延续运维项目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ZHJ-2025-012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2025年西安市数字化城市管理信息处置中心西安市建筑垃圾监管平台延续运维项目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数字化城市管理信息处置中心西安市建筑垃圾监管平台延续运维项目主要是为西安市建筑垃圾监管平台范围内的应用软件、系统安全、系统业务数据提供技术维护和支撑服务，确保满足业务部门的应用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或法定代表人授权委托书：法定代表人直接参与磋商的，须出具法定代表人身份证明（附法定代表人身份证复印件）；法定代表人授权代表参与磋商的，须出具法定代表人授权委托书（附法定代表人及授权代表身份证复印件)；</w:t>
      </w:r>
    </w:p>
    <w:p>
      <w:pPr>
        <w:pStyle w:val="null3"/>
      </w:pPr>
      <w:r>
        <w:rPr>
          <w:rFonts w:ascii="仿宋_GB2312" w:hAnsi="仿宋_GB2312" w:cs="仿宋_GB2312" w:eastAsia="仿宋_GB2312"/>
        </w:rPr>
        <w:t>3、财务状况报告：供应商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p>
      <w:pPr>
        <w:pStyle w:val="null3"/>
      </w:pPr>
      <w:r>
        <w:rPr>
          <w:rFonts w:ascii="仿宋_GB2312" w:hAnsi="仿宋_GB2312" w:cs="仿宋_GB2312" w:eastAsia="仿宋_GB2312"/>
        </w:rPr>
        <w:t>4、税收缴纳证明：供应商提供磋商截止时间前六个月内已缴纳的至少一个月的纳税证明或完税证明（增值税，印花税，企业所得税等一种或多种税种），依法免税的单位应提供相关证明材料；</w:t>
      </w:r>
    </w:p>
    <w:p>
      <w:pPr>
        <w:pStyle w:val="null3"/>
      </w:pPr>
      <w:r>
        <w:rPr>
          <w:rFonts w:ascii="仿宋_GB2312" w:hAnsi="仿宋_GB2312" w:cs="仿宋_GB2312" w:eastAsia="仿宋_GB2312"/>
        </w:rPr>
        <w:t>5、社会保障资金缴纳证明：供应商提供磋商截止时间前六个月内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6、供应商信誉要求：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p>
      <w:pPr>
        <w:pStyle w:val="null3"/>
      </w:pPr>
      <w:r>
        <w:rPr>
          <w:rFonts w:ascii="仿宋_GB2312" w:hAnsi="仿宋_GB2312" w:cs="仿宋_GB2312" w:eastAsia="仿宋_GB2312"/>
        </w:rPr>
        <w:t>7、书面声明：参加本次政府采购活动前3年内在经营活动中没有重大违纪的书面声明（提供承诺书）；</w:t>
      </w:r>
    </w:p>
    <w:p>
      <w:pPr>
        <w:pStyle w:val="null3"/>
      </w:pPr>
      <w:r>
        <w:rPr>
          <w:rFonts w:ascii="仿宋_GB2312" w:hAnsi="仿宋_GB2312" w:cs="仿宋_GB2312" w:eastAsia="仿宋_GB2312"/>
        </w:rPr>
        <w:t>8、承诺书：提供具有履行合同所必需的设备和专业技术能力的承诺（提供承诺书）;</w:t>
      </w:r>
    </w:p>
    <w:p>
      <w:pPr>
        <w:pStyle w:val="null3"/>
      </w:pPr>
      <w:r>
        <w:rPr>
          <w:rFonts w:ascii="仿宋_GB2312" w:hAnsi="仿宋_GB2312" w:cs="仿宋_GB2312" w:eastAsia="仿宋_GB2312"/>
        </w:rPr>
        <w:t>9、承诺书：本项目不接受联合体磋商（提供承诺书）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西安市智慧城管指挥中心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029-86783616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029-89878539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代理服务费收费标准：代理服务费参照《国家计委关于印发&lt;招标代理服务收费管理暂行办法&gt;的通知》（计价格【2002】1980号）文件和《国家发改委发改价格【2011】534号文件》规定标准下浮20% 计取。若结算成交服务费不足人民币5000元的则按伍仟元（￥5000元）收取。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西安市智慧城管指挥中心</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西安市智慧城管指挥中心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西安市智慧城管指挥中心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确认年度项目维护内容，由服务供应商进行自检，合格后，准备验收文件，并书面通知采购人。（2）采购人确认服务供应商的自检内容后，组织验收，并填写政府采购项目验收单（一式伍份）作为对项目服务的最终认可。（3）服务供应商向采购人提交项目实施过程中的所有资料。以便采购人日后管理和维护。（4）验收依据：a、本项目合同文本；b、招标文件、投响应文件、月度运维考核结果和澄清；c、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联系人：闫工</w:t>
      </w:r>
    </w:p>
    <w:p>
      <w:pPr>
        <w:pStyle w:val="null3"/>
      </w:pPr>
      <w:r>
        <w:rPr>
          <w:rFonts w:ascii="仿宋_GB2312" w:hAnsi="仿宋_GB2312" w:cs="仿宋_GB2312" w:eastAsia="仿宋_GB2312"/>
        </w:rPr>
        <w:t>联系电话：029-98878539</w:t>
      </w:r>
    </w:p>
    <w:p>
      <w:pPr>
        <w:pStyle w:val="null3"/>
      </w:pPr>
      <w:r>
        <w:rPr>
          <w:rFonts w:ascii="仿宋_GB2312" w:hAnsi="仿宋_GB2312" w:cs="仿宋_GB2312" w:eastAsia="仿宋_GB2312"/>
        </w:rPr>
        <w:t>地址：陕西省西安市浐灞生态区欧亚大道666号欧亚国际一期A座0917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本项目主要为西安市建筑垃圾监管平台范围内的应用软件、系统安全、系统业务数据提供技术维护和支撑服务，确保满足业务部门的应用需求.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372,500.00</w:t>
      </w:r>
    </w:p>
    <w:p>
      <w:pPr>
        <w:pStyle w:val="null3"/>
      </w:pPr>
      <w:r>
        <w:rPr>
          <w:rFonts w:ascii="仿宋_GB2312" w:hAnsi="仿宋_GB2312" w:cs="仿宋_GB2312" w:eastAsia="仿宋_GB2312"/>
        </w:rPr>
        <w:t>采购包最高限价（元）: 372,500.00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为西安市建筑垃圾监管平台范围内的应用软件、系统安全、系统业务数据提供技术维护和支撑服务，确保满足业务部门的应用需求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标的名称：为西安市建筑垃圾监管平台范围内的应用软件、系统安全、系统业务数据提供技术维护和支撑服务，确保满足业务部门的应用需求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color w:val="000000"/>
              </w:rPr>
              <w:t>第一部分</w:t>
            </w:r>
            <w:r>
              <w:rPr>
                <w:rFonts w:ascii="仿宋_GB2312" w:hAnsi="仿宋_GB2312" w:cs="仿宋_GB2312" w:eastAsia="仿宋_GB2312"/>
                <w:sz w:val="20"/>
                <w:b/>
                <w:color w:val="000000"/>
              </w:rPr>
              <w:t>采购内容</w:t>
            </w:r>
          </w:p>
          <w:p>
            <w:pPr>
              <w:pStyle w:val="null3"/>
              <w:ind w:firstLine="400"/>
              <w:jc w:val="left"/>
            </w:pPr>
            <w:r>
              <w:rPr>
                <w:rFonts w:ascii="仿宋_GB2312" w:hAnsi="仿宋_GB2312" w:cs="仿宋_GB2312" w:eastAsia="仿宋_GB2312"/>
                <w:sz w:val="20"/>
                <w:color w:val="000000"/>
              </w:rPr>
              <w:t>为西安市建筑垃圾监管平台范围内的应用软件、系统安全、系统业务数据提供技术维护</w:t>
            </w:r>
            <w:r>
              <w:rPr>
                <w:rFonts w:ascii="仿宋_GB2312" w:hAnsi="仿宋_GB2312" w:cs="仿宋_GB2312" w:eastAsia="仿宋_GB2312"/>
                <w:sz w:val="20"/>
                <w:color w:val="000000"/>
              </w:rPr>
              <w:t>和支撑</w:t>
            </w:r>
            <w:r>
              <w:rPr>
                <w:rFonts w:ascii="仿宋_GB2312" w:hAnsi="仿宋_GB2312" w:cs="仿宋_GB2312" w:eastAsia="仿宋_GB2312"/>
                <w:sz w:val="20"/>
                <w:color w:val="000000"/>
              </w:rPr>
              <w:t>服务，确保满足业务部门的应用需求</w:t>
            </w:r>
            <w:r>
              <w:rPr>
                <w:rFonts w:ascii="仿宋_GB2312" w:hAnsi="仿宋_GB2312" w:cs="仿宋_GB2312" w:eastAsia="仿宋_GB2312"/>
                <w:sz w:val="20"/>
                <w:color w:val="000000"/>
              </w:rPr>
              <w:t>。</w:t>
            </w:r>
          </w:p>
          <w:p>
            <w:pPr>
              <w:pStyle w:val="null3"/>
              <w:jc w:val="center"/>
            </w:pPr>
            <w:r>
              <w:rPr>
                <w:rFonts w:ascii="仿宋_GB2312" w:hAnsi="仿宋_GB2312" w:cs="仿宋_GB2312" w:eastAsia="仿宋_GB2312"/>
                <w:sz w:val="20"/>
                <w:b/>
                <w:color w:val="000000"/>
              </w:rPr>
              <w:t>第二部分</w:t>
            </w:r>
            <w:r>
              <w:rPr>
                <w:rFonts w:ascii="仿宋_GB2312" w:hAnsi="仿宋_GB2312" w:cs="仿宋_GB2312" w:eastAsia="仿宋_GB2312"/>
                <w:sz w:val="20"/>
                <w:b/>
                <w:color w:val="000000"/>
              </w:rPr>
              <w:t>技术要求</w:t>
            </w:r>
          </w:p>
          <w:p>
            <w:pPr>
              <w:pStyle w:val="null3"/>
              <w:ind w:firstLine="645"/>
              <w:jc w:val="left"/>
            </w:pPr>
            <w:r>
              <w:rPr>
                <w:rFonts w:ascii="仿宋_GB2312" w:hAnsi="仿宋_GB2312" w:cs="仿宋_GB2312" w:eastAsia="仿宋_GB2312"/>
                <w:sz w:val="20"/>
                <w:b/>
                <w:color w:val="000000"/>
              </w:rPr>
              <w:t>一、日常运维服务内容</w:t>
            </w:r>
          </w:p>
          <w:p>
            <w:pPr>
              <w:pStyle w:val="null3"/>
              <w:ind w:firstLine="645"/>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服务</w:t>
            </w:r>
            <w:r>
              <w:rPr>
                <w:rFonts w:ascii="仿宋_GB2312" w:hAnsi="仿宋_GB2312" w:cs="仿宋_GB2312" w:eastAsia="仿宋_GB2312"/>
                <w:sz w:val="20"/>
                <w:b/>
                <w:color w:val="000000"/>
              </w:rPr>
              <w:t>内容</w:t>
            </w:r>
          </w:p>
          <w:p>
            <w:pPr>
              <w:pStyle w:val="null3"/>
              <w:ind w:firstLine="645"/>
              <w:jc w:val="left"/>
            </w:pPr>
            <w:r>
              <w:rPr>
                <w:rFonts w:ascii="仿宋_GB2312" w:hAnsi="仿宋_GB2312" w:cs="仿宋_GB2312" w:eastAsia="仿宋_GB2312"/>
                <w:sz w:val="20"/>
                <w:color w:val="000000"/>
              </w:rPr>
              <w:t>服务供应商提供的具体服务项目如下表所示：</w:t>
            </w:r>
          </w:p>
          <w:tbl>
            <w:tblPr>
              <w:tblBorders>
                <w:top w:val="none" w:color="000000" w:sz="4"/>
                <w:left w:val="none" w:color="000000" w:sz="4"/>
                <w:bottom w:val="none" w:color="000000" w:sz="4"/>
                <w:right w:val="none" w:color="000000" w:sz="4"/>
                <w:insideH w:val="none"/>
                <w:insideV w:val="none"/>
              </w:tblBorders>
            </w:tblPr>
            <w:tblGrid>
              <w:gridCol w:w="442"/>
              <w:gridCol w:w="2104"/>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服务项目</w:t>
                  </w:r>
                </w:p>
              </w:tc>
              <w:tc>
                <w:tcPr>
                  <w:tcW w:type="dxa" w:w="2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服务描述</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应用软件维护服务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1.平台软件日常巡检</w:t>
                  </w:r>
                </w:p>
                <w:p>
                  <w:pPr>
                    <w:pStyle w:val="null3"/>
                    <w:ind w:firstLine="200"/>
                    <w:jc w:val="left"/>
                  </w:pPr>
                  <w:r>
                    <w:rPr>
                      <w:rFonts w:ascii="仿宋_GB2312" w:hAnsi="仿宋_GB2312" w:cs="仿宋_GB2312" w:eastAsia="仿宋_GB2312"/>
                      <w:sz w:val="20"/>
                      <w:color w:val="000000"/>
                    </w:rPr>
                    <w:t>平台软件日常巡检工作，主要排查软件的故障隐患，减少平台出现故障的概率，每天下午做好数据增量备份，每周做一次全备份；每月对应用软件、中间件和数据库做一次检查，根据官方发布进行必要的补丁升级；运维资料的整理和归档，运维过程中产生的各种文档、数据、日志等资料的整理、分类、存储和备份；目前平台软件涉及</w:t>
                  </w:r>
                  <w:r>
                    <w:rPr>
                      <w:rFonts w:ascii="仿宋_GB2312" w:hAnsi="仿宋_GB2312" w:cs="仿宋_GB2312" w:eastAsia="仿宋_GB2312"/>
                      <w:sz w:val="20"/>
                      <w:color w:val="000000"/>
                    </w:rPr>
                    <w:t>13个模块。</w:t>
                  </w:r>
                </w:p>
                <w:p>
                  <w:pPr>
                    <w:pStyle w:val="null3"/>
                    <w:ind w:firstLine="400"/>
                    <w:jc w:val="left"/>
                  </w:pPr>
                  <w:r>
                    <w:rPr>
                      <w:rFonts w:ascii="仿宋_GB2312" w:hAnsi="仿宋_GB2312" w:cs="仿宋_GB2312" w:eastAsia="仿宋_GB2312"/>
                      <w:sz w:val="20"/>
                      <w:color w:val="000000"/>
                    </w:rPr>
                    <w:t>2.根据每年固定重点日期（春节7天、两会10天、五一5天和国庆7天）保障安排专人为系统运行随时提供技术保障。</w:t>
                  </w:r>
                </w:p>
                <w:p>
                  <w:pPr>
                    <w:pStyle w:val="null3"/>
                    <w:ind w:firstLine="400"/>
                    <w:jc w:val="left"/>
                  </w:pPr>
                  <w:r>
                    <w:rPr>
                      <w:rFonts w:ascii="仿宋_GB2312" w:hAnsi="仿宋_GB2312" w:cs="仿宋_GB2312" w:eastAsia="仿宋_GB2312"/>
                      <w:sz w:val="20"/>
                      <w:color w:val="000000"/>
                    </w:rPr>
                    <w:t>3.定期检查应用软件系统安全防护措施的实施情况，每月及时更新服务器系统杀毒软件的病毒库，并进行查杀处理，配合做好信息化系统整体的安全保障防护工作，配合第三方安全检测人员进行年度系统安全检测和整改工作。</w:t>
                  </w:r>
                </w:p>
                <w:p>
                  <w:pPr>
                    <w:pStyle w:val="null3"/>
                    <w:ind w:firstLine="400"/>
                    <w:jc w:val="left"/>
                  </w:pPr>
                  <w:r>
                    <w:rPr>
                      <w:rFonts w:ascii="仿宋_GB2312" w:hAnsi="仿宋_GB2312" w:cs="仿宋_GB2312" w:eastAsia="仿宋_GB2312"/>
                      <w:sz w:val="20"/>
                      <w:color w:val="000000"/>
                    </w:rPr>
                    <w:t>4.应急保障服务，每年运维期开始都要根据信息系统建设和运行情况制定相应的计划，提前做好人员储备工作，以保证平台的稳定。</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软件技术</w:t>
                  </w:r>
                  <w:r>
                    <w:rPr>
                      <w:rFonts w:ascii="仿宋_GB2312" w:hAnsi="仿宋_GB2312" w:cs="仿宋_GB2312" w:eastAsia="仿宋_GB2312"/>
                      <w:sz w:val="20"/>
                      <w:color w:val="000000"/>
                    </w:rPr>
                    <w:t>服务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1.对24个区、县（含西咸新区）和业务处室使用人员日常需要提供业务流程咨询、软件使用培训（更换业务负责人后涉及）、数据录入、数据修改、误操作修改、提交各种统计数据表等支撑工作。</w:t>
                  </w:r>
                </w:p>
                <w:p>
                  <w:pPr>
                    <w:pStyle w:val="null3"/>
                    <w:ind w:firstLine="400"/>
                    <w:jc w:val="left"/>
                  </w:pPr>
                  <w:r>
                    <w:rPr>
                      <w:rFonts w:ascii="仿宋_GB2312" w:hAnsi="仿宋_GB2312" w:cs="仿宋_GB2312" w:eastAsia="仿宋_GB2312"/>
                      <w:sz w:val="20"/>
                      <w:color w:val="000000"/>
                    </w:rPr>
                    <w:t>2.对新建工地清运项目施工企业，西安市每年新增工地清运项目为300余个，不同清运项目施工企业基本都是第一次使用，需提供业务流程咨询，软件使用培训服务。</w:t>
                  </w:r>
                </w:p>
                <w:p>
                  <w:pPr>
                    <w:pStyle w:val="null3"/>
                    <w:ind w:firstLine="400"/>
                    <w:jc w:val="left"/>
                  </w:pPr>
                  <w:r>
                    <w:rPr>
                      <w:rFonts w:ascii="仿宋_GB2312" w:hAnsi="仿宋_GB2312" w:cs="仿宋_GB2312" w:eastAsia="仿宋_GB2312"/>
                      <w:sz w:val="20"/>
                      <w:color w:val="000000"/>
                    </w:rPr>
                    <w:t>3.对全市150余家建筑垃圾运输企业，运输企业操作人员流动性大、人员业务能力相对比较薄弱，只要出现报送问题，不管是否为软件问题都会找运维单位解决，所以经常需要需提供线上与线下技术支持和故障处理等服务，所以需要定期企业人员做使用培训和巡检。</w:t>
                  </w:r>
                </w:p>
                <w:p>
                  <w:pPr>
                    <w:pStyle w:val="null3"/>
                    <w:ind w:firstLine="400"/>
                    <w:jc w:val="left"/>
                  </w:pPr>
                  <w:r>
                    <w:rPr>
                      <w:rFonts w:ascii="仿宋_GB2312" w:hAnsi="仿宋_GB2312" w:cs="仿宋_GB2312" w:eastAsia="仿宋_GB2312"/>
                      <w:sz w:val="20"/>
                      <w:color w:val="000000"/>
                    </w:rPr>
                    <w:t>4.对全市8000多台运输车辆，21年全市清运车辆升级主动安全防御系统后，车辆的运维涉及数据采集、监测、告警、分析、管理等多个环节，需要经常配合主动安全设备服务商和运输企业对车辆的各个数据进行处理，也要配合管理部门对数据进行监测。</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平台软件功能完善服务</w:t>
                  </w:r>
                </w:p>
              </w:tc>
              <w:tc>
                <w:tcPr>
                  <w:tcW w:type="dxa" w:w="2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根据业务处室要求，完成模块在使用过程中的不断功能完善及</w:t>
                  </w:r>
                  <w:r>
                    <w:rPr>
                      <w:rFonts w:ascii="仿宋_GB2312" w:hAnsi="仿宋_GB2312" w:cs="仿宋_GB2312" w:eastAsia="仿宋_GB2312"/>
                      <w:sz w:val="20"/>
                      <w:color w:val="000000"/>
                    </w:rPr>
                    <w:t>BUG 修复等工作。</w:t>
                  </w:r>
                  <w:r>
                    <w:rPr>
                      <w:rFonts w:ascii="仿宋_GB2312" w:hAnsi="仿宋_GB2312" w:cs="仿宋_GB2312" w:eastAsia="仿宋_GB2312"/>
                      <w:sz w:val="20"/>
                      <w:color w:val="000000"/>
                    </w:rPr>
                    <w:t>计划完成</w:t>
                  </w:r>
                  <w:r>
                    <w:rPr>
                      <w:rFonts w:ascii="仿宋_GB2312" w:hAnsi="仿宋_GB2312" w:cs="仿宋_GB2312" w:eastAsia="仿宋_GB2312"/>
                      <w:sz w:val="20"/>
                      <w:color w:val="000000"/>
                    </w:rPr>
                    <w:t>4个功能完善（1、地图功能中可以直接调取建设项目视频图像；2、在地图显示中实现项目纵向信息查询闭环，可以查看相关企业信息和近期报送信息；3、增加车辆发动机号和车架号查重功能；4、修改周六日流量信息检查限制功能，统一在周一检查。）</w:t>
                  </w:r>
                </w:p>
              </w:tc>
            </w:tr>
          </w:tbl>
          <w:p>
            <w:pPr>
              <w:pStyle w:val="null3"/>
              <w:jc w:val="left"/>
            </w:pPr>
            <w:r>
              <w:rPr>
                <w:rFonts w:ascii="仿宋_GB2312" w:hAnsi="仿宋_GB2312" w:cs="仿宋_GB2312" w:eastAsia="仿宋_GB2312"/>
                <w:sz w:val="20"/>
                <w:b/>
                <w:color w:val="000000"/>
              </w:rPr>
              <w:t>（二）服务软件清单</w:t>
            </w:r>
          </w:p>
          <w:p>
            <w:pPr>
              <w:pStyle w:val="null3"/>
              <w:ind w:firstLine="645"/>
              <w:jc w:val="left"/>
            </w:pPr>
            <w:r>
              <w:rPr>
                <w:rFonts w:ascii="仿宋_GB2312" w:hAnsi="仿宋_GB2312" w:cs="仿宋_GB2312" w:eastAsia="仿宋_GB2312"/>
                <w:sz w:val="20"/>
                <w:color w:val="000000"/>
              </w:rPr>
              <w:t>软件模块清单：</w:t>
            </w:r>
          </w:p>
          <w:tbl>
            <w:tblPr>
              <w:tblInd w:type="dxa" w:w="420"/>
              <w:tblBorders>
                <w:top w:val="none" w:color="000000" w:sz="4"/>
                <w:left w:val="none" w:color="000000" w:sz="4"/>
                <w:bottom w:val="none" w:color="000000" w:sz="4"/>
                <w:right w:val="none" w:color="000000" w:sz="4"/>
                <w:insideH w:val="none"/>
                <w:insideV w:val="none"/>
              </w:tblBorders>
            </w:tblPr>
            <w:tblGrid>
              <w:gridCol w:w="309"/>
              <w:gridCol w:w="1085"/>
              <w:gridCol w:w="798"/>
              <w:gridCol w:w="354"/>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规格型号</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223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应用软件维护</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基础数据库管理子系统</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审批申报管理子系统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工地监管子系统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运输过程监管子系统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消纳场监管子系统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综合调剂管理系统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考核与巡查管理子系统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公众参与互动管理子系统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企业与个人信用子系统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决策支持管理子系统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后台管理子系统</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报表平台</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系统对接</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现有系统维护</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bl>
          <w:p>
            <w:pPr>
              <w:pStyle w:val="null3"/>
              <w:jc w:val="both"/>
            </w:pPr>
            <w:r>
              <w:rPr>
                <w:rFonts w:ascii="仿宋_GB2312" w:hAnsi="仿宋_GB2312" w:cs="仿宋_GB2312" w:eastAsia="仿宋_GB2312"/>
                <w:sz w:val="20"/>
                <w:b/>
                <w:color w:val="000000"/>
              </w:rPr>
              <w:t>（三）服务方式</w:t>
            </w:r>
          </w:p>
          <w:p>
            <w:pPr>
              <w:pStyle w:val="null3"/>
              <w:ind w:firstLine="400"/>
              <w:jc w:val="left"/>
            </w:pPr>
            <w:r>
              <w:rPr>
                <w:rFonts w:ascii="仿宋_GB2312" w:hAnsi="仿宋_GB2312" w:cs="仿宋_GB2312" w:eastAsia="仿宋_GB2312"/>
                <w:sz w:val="20"/>
                <w:color w:val="000000"/>
              </w:rPr>
              <w:t>服务供应商要确保成立专门的维护团队提供系统维护服务。维护团队提供</w:t>
            </w:r>
            <w:r>
              <w:rPr>
                <w:rFonts w:ascii="仿宋_GB2312" w:hAnsi="仿宋_GB2312" w:cs="仿宋_GB2312" w:eastAsia="仿宋_GB2312"/>
                <w:sz w:val="20"/>
                <w:color w:val="000000"/>
              </w:rPr>
              <w:t>7*24小时故障处理服务。</w:t>
            </w:r>
          </w:p>
          <w:p>
            <w:pPr>
              <w:pStyle w:val="null3"/>
              <w:ind w:firstLine="400"/>
              <w:jc w:val="left"/>
            </w:pPr>
            <w:r>
              <w:rPr>
                <w:rFonts w:ascii="仿宋_GB2312" w:hAnsi="仿宋_GB2312" w:cs="仿宋_GB2312" w:eastAsia="仿宋_GB2312"/>
                <w:sz w:val="20"/>
                <w:color w:val="000000"/>
              </w:rPr>
              <w:t>在维护期间，无论系统中的各种功能是否运行正常，服务供应商都按运维方案，进行日常运维检查和及时处置，对巡检过程中发现的问题、处置结果留有记录，并每月形成维护月报。</w:t>
            </w:r>
          </w:p>
          <w:p>
            <w:pPr>
              <w:pStyle w:val="null3"/>
              <w:ind w:firstLine="400"/>
              <w:jc w:val="left"/>
            </w:pPr>
            <w:r>
              <w:rPr>
                <w:rFonts w:ascii="仿宋_GB2312" w:hAnsi="仿宋_GB2312" w:cs="仿宋_GB2312" w:eastAsia="仿宋_GB2312"/>
                <w:sz w:val="20"/>
                <w:color w:val="000000"/>
              </w:rPr>
              <w:t>相关软件发生故障，服务供应商接到通知后，应严格按照故障处理流程、故障等级和处理时限进行处理，并按照维护方案要求接受考核。如果服务供应商未能按要求履行职责，采购人可根据故障处理流程委托第三方单位或人员处理，由此产生的费用由服务供应商承担，采购人可直接在当年系统运行维护费中扣除。</w:t>
            </w:r>
          </w:p>
          <w:p>
            <w:pPr>
              <w:pStyle w:val="null3"/>
              <w:jc w:val="left"/>
            </w:pPr>
            <w:r>
              <w:rPr>
                <w:rFonts w:ascii="仿宋_GB2312" w:hAnsi="仿宋_GB2312" w:cs="仿宋_GB2312" w:eastAsia="仿宋_GB2312"/>
                <w:sz w:val="20"/>
                <w:b/>
                <w:color w:val="000000"/>
              </w:rPr>
              <w:t>（四）双方工作职责</w:t>
            </w:r>
          </w:p>
          <w:p>
            <w:pPr>
              <w:pStyle w:val="null3"/>
              <w:ind w:firstLine="400"/>
              <w:jc w:val="left"/>
            </w:pPr>
            <w:r>
              <w:rPr>
                <w:rFonts w:ascii="仿宋_GB2312" w:hAnsi="仿宋_GB2312" w:cs="仿宋_GB2312" w:eastAsia="仿宋_GB2312"/>
                <w:sz w:val="20"/>
                <w:color w:val="000000"/>
              </w:rPr>
              <w:t>服务供应商应确保整个服务过程及工作内容符合国家相关要求，并对服务过程中可能发生的所有人身、财产、安全责任事件，承担全部法律责任。</w:t>
            </w:r>
          </w:p>
          <w:tbl>
            <w:tblPr>
              <w:tblBorders>
                <w:top w:val="none" w:color="000000" w:sz="4"/>
                <w:left w:val="none" w:color="000000" w:sz="4"/>
                <w:bottom w:val="none" w:color="000000" w:sz="4"/>
                <w:right w:val="none" w:color="000000" w:sz="4"/>
                <w:insideH w:val="none"/>
                <w:insideV w:val="none"/>
              </w:tblBorders>
            </w:tblPr>
            <w:tblGrid>
              <w:gridCol w:w="1322"/>
              <w:gridCol w:w="1224"/>
            </w:tblGrid>
            <w:tr>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w:t>
                  </w:r>
                  <w:r>
                    <w:rPr>
                      <w:rFonts w:ascii="仿宋_GB2312" w:hAnsi="仿宋_GB2312" w:cs="仿宋_GB2312" w:eastAsia="仿宋_GB2312"/>
                      <w:sz w:val="20"/>
                      <w:b/>
                    </w:rPr>
                    <w:t>供应</w:t>
                  </w:r>
                  <w:r>
                    <w:rPr>
                      <w:rFonts w:ascii="仿宋_GB2312" w:hAnsi="仿宋_GB2312" w:cs="仿宋_GB2312" w:eastAsia="仿宋_GB2312"/>
                      <w:sz w:val="20"/>
                      <w:b/>
                    </w:rPr>
                    <w:t>商的职责</w:t>
                  </w:r>
                </w:p>
              </w:tc>
              <w:tc>
                <w:tcPr>
                  <w:tcW w:type="dxa" w:w="1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采购人的职责</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日常运维：</w:t>
                  </w:r>
                  <w:r>
                    <w:rPr>
                      <w:rFonts w:ascii="仿宋_GB2312" w:hAnsi="仿宋_GB2312" w:cs="仿宋_GB2312" w:eastAsia="仿宋_GB2312"/>
                      <w:sz w:val="20"/>
                    </w:rPr>
                    <w:t>每天</w:t>
                  </w:r>
                  <w:r>
                    <w:rPr>
                      <w:rFonts w:ascii="仿宋_GB2312" w:hAnsi="仿宋_GB2312" w:cs="仿宋_GB2312" w:eastAsia="仿宋_GB2312"/>
                      <w:sz w:val="20"/>
                    </w:rPr>
                    <w:t>巡检维护工作，确保系统稳定运行。</w:t>
                  </w: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监督、跟踪服务供应商的日常运维工作完成情况，并进行考核和验收。</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故障处理：每周</w:t>
                  </w:r>
                  <w:r>
                    <w:rPr>
                      <w:rFonts w:ascii="仿宋_GB2312" w:hAnsi="仿宋_GB2312" w:cs="仿宋_GB2312" w:eastAsia="仿宋_GB2312"/>
                      <w:sz w:val="20"/>
                    </w:rPr>
                    <w:t>7*24小时实时故障处理服务。主动发现，或响应采购人故障申告，按照运维方案故障处理流程，进行处理，并逐级上报，直至故障解决。</w:t>
                  </w: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服务供应商进行远程或现场故障处理时，采购人须全力配合，并全程监督考核服务供应商的故障处理工作。</w:t>
                  </w:r>
                </w:p>
              </w:tc>
            </w:tr>
            <w:tr>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为采购人提供各项运维文档。包括：维护资料、维护升级（割接）的申请、维护月报以及故障处理报告等。</w:t>
                  </w: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确认、审批各项文档资料，并进行考核。</w:t>
                  </w:r>
                </w:p>
              </w:tc>
            </w:tr>
          </w:tbl>
          <w:p>
            <w:pPr>
              <w:pStyle w:val="null3"/>
              <w:ind w:firstLine="645"/>
              <w:jc w:val="left"/>
            </w:pPr>
            <w:r>
              <w:rPr>
                <w:rFonts w:ascii="仿宋_GB2312" w:hAnsi="仿宋_GB2312" w:cs="仿宋_GB2312" w:eastAsia="仿宋_GB2312"/>
                <w:sz w:val="20"/>
                <w:b/>
              </w:rPr>
              <w:t>二、故障处置服务要求</w:t>
            </w:r>
          </w:p>
          <w:p>
            <w:pPr>
              <w:pStyle w:val="null3"/>
              <w:ind w:firstLine="400"/>
              <w:jc w:val="left"/>
            </w:pPr>
            <w:r>
              <w:rPr>
                <w:rFonts w:ascii="仿宋_GB2312" w:hAnsi="仿宋_GB2312" w:cs="仿宋_GB2312" w:eastAsia="仿宋_GB2312"/>
                <w:sz w:val="20"/>
              </w:rPr>
              <w:t>西安市建筑垃圾监管平台运行阶段的故障处理范围包括：西安市建筑垃圾监管平台所有的软件系统故障和网络故障。</w:t>
            </w:r>
          </w:p>
          <w:p>
            <w:pPr>
              <w:pStyle w:val="null3"/>
              <w:ind w:firstLine="402"/>
              <w:jc w:val="left"/>
            </w:pPr>
            <w:r>
              <w:rPr>
                <w:rFonts w:ascii="仿宋_GB2312" w:hAnsi="仿宋_GB2312" w:cs="仿宋_GB2312" w:eastAsia="仿宋_GB2312"/>
                <w:sz w:val="20"/>
                <w:b/>
              </w:rPr>
              <w:t>（一）上报流程</w:t>
            </w:r>
          </w:p>
          <w:p>
            <w:pPr>
              <w:pStyle w:val="null3"/>
              <w:ind w:firstLine="645"/>
              <w:jc w:val="left"/>
            </w:pPr>
            <w:r>
              <w:rPr>
                <w:rFonts w:ascii="仿宋_GB2312" w:hAnsi="仿宋_GB2312" w:cs="仿宋_GB2312" w:eastAsia="仿宋_GB2312"/>
                <w:sz w:val="20"/>
              </w:rPr>
              <w:t>按照发现、分析、定级、上报、处置的处理流程，提供及时有效的故障处理服务。发现系统出现故障后，采购人要第一时间联系服务供应商维护值班人员，上报故障的时间和现象。供应商值班人员根据故障现象，初步判断故障原因、级别以及影响范围，并上报西安市智慧城管指挥中心技术安全科。技术安全科根据故障等级情况组织后续的处理及上报工作，并监督供应商完成故障处理工作。</w:t>
            </w:r>
          </w:p>
          <w:p>
            <w:pPr>
              <w:pStyle w:val="null3"/>
              <w:ind w:firstLine="402"/>
              <w:jc w:val="left"/>
            </w:pPr>
            <w:r>
              <w:rPr>
                <w:rFonts w:ascii="仿宋_GB2312" w:hAnsi="仿宋_GB2312" w:cs="仿宋_GB2312" w:eastAsia="仿宋_GB2312"/>
                <w:sz w:val="20"/>
                <w:b/>
              </w:rPr>
              <w:t>（二）故障分级及处置时限</w:t>
            </w:r>
          </w:p>
          <w:p>
            <w:pPr>
              <w:pStyle w:val="null3"/>
              <w:ind w:firstLine="645"/>
              <w:jc w:val="left"/>
            </w:pPr>
            <w:r>
              <w:rPr>
                <w:rFonts w:ascii="仿宋_GB2312" w:hAnsi="仿宋_GB2312" w:cs="仿宋_GB2312" w:eastAsia="仿宋_GB2312"/>
                <w:sz w:val="20"/>
              </w:rPr>
              <w:t>根据业务系统的故障范围和障碍历时分为两个等级。</w:t>
            </w:r>
          </w:p>
          <w:p>
            <w:pPr>
              <w:pStyle w:val="null3"/>
              <w:ind w:firstLine="645"/>
              <w:jc w:val="left"/>
            </w:pPr>
            <w:r>
              <w:rPr>
                <w:rFonts w:ascii="仿宋_GB2312" w:hAnsi="仿宋_GB2312" w:cs="仿宋_GB2312" w:eastAsia="仿宋_GB2312"/>
                <w:sz w:val="20"/>
              </w:rPr>
              <w:t>1、</w:t>
            </w:r>
            <w:r>
              <w:rPr>
                <w:rFonts w:ascii="仿宋_GB2312" w:hAnsi="仿宋_GB2312" w:cs="仿宋_GB2312" w:eastAsia="仿宋_GB2312"/>
                <w:sz w:val="20"/>
              </w:rPr>
              <w:t>一级故障：</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1）平台系统部分重要业务中断，系统功能部分丧失，可能需要通过某种替代方法来恢复功能。</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2）系统存在安全问题，发生了系统被恶意攻击、渗透等安全事件，影响部分用户访问。</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3）响应时间：供应商维护人员要求10分钟内响应故障，2小时内赶到现场。</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4）处置时限：系统故障处置时限4小时；服务器故障不超过3个自然日。</w:t>
            </w:r>
          </w:p>
          <w:p>
            <w:pPr>
              <w:pStyle w:val="null3"/>
              <w:ind w:firstLine="645"/>
              <w:jc w:val="left"/>
            </w:pPr>
            <w:r>
              <w:rPr>
                <w:rFonts w:ascii="仿宋_GB2312" w:hAnsi="仿宋_GB2312" w:cs="仿宋_GB2312" w:eastAsia="仿宋_GB2312"/>
                <w:sz w:val="20"/>
              </w:rPr>
              <w:t>2、二级故障：</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1）系统功能基本完整，核心业务正常，系统局部发生故障，并不影响系统整体操作。</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2）响应时间：供应商维护人员要求10分钟内响应故障，2小时内赶到现场。</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3）处置时限：系统故障处置时限2小时。</w:t>
            </w:r>
          </w:p>
          <w:p>
            <w:pPr>
              <w:pStyle w:val="null3"/>
              <w:ind w:firstLine="402"/>
              <w:jc w:val="left"/>
            </w:pPr>
            <w:r>
              <w:rPr>
                <w:rFonts w:ascii="仿宋_GB2312" w:hAnsi="仿宋_GB2312" w:cs="仿宋_GB2312" w:eastAsia="仿宋_GB2312"/>
                <w:sz w:val="20"/>
                <w:b/>
              </w:rPr>
              <w:t>（三）故障来源</w:t>
            </w:r>
          </w:p>
          <w:p>
            <w:pPr>
              <w:pStyle w:val="null3"/>
              <w:ind w:firstLine="645"/>
              <w:jc w:val="left"/>
            </w:pPr>
            <w:r>
              <w:rPr>
                <w:rFonts w:ascii="仿宋_GB2312" w:hAnsi="仿宋_GB2312" w:cs="仿宋_GB2312" w:eastAsia="仿宋_GB2312"/>
                <w:sz w:val="20"/>
              </w:rPr>
              <w:t>1、问题上报。</w:t>
            </w:r>
          </w:p>
          <w:p>
            <w:pPr>
              <w:pStyle w:val="null3"/>
              <w:ind w:firstLine="645"/>
              <w:jc w:val="left"/>
            </w:pPr>
            <w:r>
              <w:rPr>
                <w:rFonts w:ascii="仿宋_GB2312" w:hAnsi="仿宋_GB2312" w:cs="仿宋_GB2312" w:eastAsia="仿宋_GB2312"/>
                <w:sz w:val="20"/>
              </w:rPr>
              <w:t>2、运维巡检发现。</w:t>
            </w:r>
          </w:p>
          <w:p>
            <w:pPr>
              <w:pStyle w:val="null3"/>
              <w:ind w:firstLine="645"/>
              <w:jc w:val="left"/>
            </w:pPr>
            <w:r>
              <w:rPr>
                <w:rFonts w:ascii="仿宋_GB2312" w:hAnsi="仿宋_GB2312" w:cs="仿宋_GB2312" w:eastAsia="仿宋_GB2312"/>
                <w:sz w:val="20"/>
              </w:rPr>
              <w:t>3、采购人告知。</w:t>
            </w:r>
          </w:p>
          <w:p>
            <w:pPr>
              <w:pStyle w:val="null3"/>
              <w:ind w:firstLine="645"/>
              <w:jc w:val="left"/>
            </w:pPr>
            <w:r>
              <w:rPr>
                <w:rFonts w:ascii="仿宋_GB2312" w:hAnsi="仿宋_GB2312" w:cs="仿宋_GB2312" w:eastAsia="仿宋_GB2312"/>
                <w:sz w:val="20"/>
              </w:rPr>
              <w:t>4、其他来源。</w:t>
            </w:r>
          </w:p>
          <w:p>
            <w:pPr>
              <w:pStyle w:val="null3"/>
              <w:ind w:firstLine="402"/>
              <w:jc w:val="left"/>
            </w:pPr>
            <w:r>
              <w:rPr>
                <w:rFonts w:ascii="仿宋_GB2312" w:hAnsi="仿宋_GB2312" w:cs="仿宋_GB2312" w:eastAsia="仿宋_GB2312"/>
                <w:sz w:val="20"/>
                <w:b/>
              </w:rPr>
              <w:t>（四）善后整改</w:t>
            </w:r>
          </w:p>
          <w:p>
            <w:pPr>
              <w:pStyle w:val="null3"/>
              <w:ind w:firstLine="645"/>
              <w:jc w:val="left"/>
            </w:pPr>
            <w:r>
              <w:rPr>
                <w:rFonts w:ascii="仿宋_GB2312" w:hAnsi="仿宋_GB2312" w:cs="仿宋_GB2312" w:eastAsia="仿宋_GB2312"/>
                <w:sz w:val="20"/>
              </w:rPr>
              <w:t>编制故障报告，分析故障原因，明确整改善后措施，并根据实际情况及时进行整改。</w:t>
            </w:r>
          </w:p>
          <w:p>
            <w:pPr>
              <w:pStyle w:val="null3"/>
              <w:ind w:firstLine="602"/>
              <w:jc w:val="left"/>
            </w:pPr>
            <w:r>
              <w:rPr>
                <w:rFonts w:ascii="仿宋_GB2312" w:hAnsi="仿宋_GB2312" w:cs="仿宋_GB2312" w:eastAsia="仿宋_GB2312"/>
                <w:sz w:val="20"/>
                <w:b/>
              </w:rPr>
              <w:t>三、维护工作考核</w:t>
            </w:r>
          </w:p>
          <w:p>
            <w:pPr>
              <w:pStyle w:val="null3"/>
              <w:ind w:firstLine="645"/>
              <w:jc w:val="left"/>
            </w:pPr>
            <w:r>
              <w:rPr>
                <w:rFonts w:ascii="仿宋_GB2312" w:hAnsi="仿宋_GB2312" w:cs="仿宋_GB2312" w:eastAsia="仿宋_GB2312"/>
                <w:sz w:val="20"/>
              </w:rPr>
              <w:t>每月对供应商服务进行考核，设定考核总分值为</w:t>
            </w:r>
            <w:r>
              <w:rPr>
                <w:rFonts w:ascii="仿宋_GB2312" w:hAnsi="仿宋_GB2312" w:cs="仿宋_GB2312" w:eastAsia="仿宋_GB2312"/>
                <w:sz w:val="20"/>
              </w:rPr>
              <w:t>100分，采取扣分制方式，实施扣分细则如下：</w:t>
            </w:r>
          </w:p>
          <w:p>
            <w:pPr>
              <w:pStyle w:val="null3"/>
              <w:ind w:firstLine="645"/>
              <w:jc w:val="left"/>
            </w:pPr>
            <w:r>
              <w:rPr>
                <w:rFonts w:ascii="仿宋_GB2312" w:hAnsi="仿宋_GB2312" w:cs="仿宋_GB2312" w:eastAsia="仿宋_GB2312"/>
                <w:sz w:val="20"/>
                <w:b/>
              </w:rPr>
              <w:t>（一）平台系统日常维护扣分细则（</w:t>
            </w:r>
            <w:r>
              <w:rPr>
                <w:rFonts w:ascii="仿宋_GB2312" w:hAnsi="仿宋_GB2312" w:cs="仿宋_GB2312" w:eastAsia="仿宋_GB2312"/>
                <w:sz w:val="20"/>
                <w:b/>
              </w:rPr>
              <w:t>30分</w:t>
            </w:r>
            <w:r>
              <w:rPr>
                <w:rFonts w:ascii="仿宋_GB2312" w:hAnsi="仿宋_GB2312" w:cs="仿宋_GB2312" w:eastAsia="仿宋_GB2312"/>
                <w:sz w:val="20"/>
                <w:b/>
              </w:rPr>
              <w:t>）</w:t>
            </w:r>
          </w:p>
          <w:p>
            <w:pPr>
              <w:pStyle w:val="null3"/>
              <w:ind w:firstLine="645"/>
              <w:jc w:val="left"/>
            </w:pPr>
            <w:r>
              <w:rPr>
                <w:rFonts w:ascii="仿宋_GB2312" w:hAnsi="仿宋_GB2312" w:cs="仿宋_GB2312" w:eastAsia="仿宋_GB2312"/>
                <w:sz w:val="20"/>
              </w:rPr>
              <w:t>1、系统运行（</w:t>
            </w:r>
            <w:r>
              <w:rPr>
                <w:rFonts w:ascii="仿宋_GB2312" w:hAnsi="仿宋_GB2312" w:cs="仿宋_GB2312" w:eastAsia="仿宋_GB2312"/>
                <w:sz w:val="20"/>
              </w:rPr>
              <w:t>15分</w:t>
            </w:r>
            <w:r>
              <w:rPr>
                <w:rFonts w:ascii="仿宋_GB2312" w:hAnsi="仿宋_GB2312" w:cs="仿宋_GB2312" w:eastAsia="仿宋_GB2312"/>
                <w:sz w:val="20"/>
              </w:rPr>
              <w:t>）</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1）要求系统软件运行稳定，每月中心接到建管处或者系统使用单位（工地、车企等）的系统功能</w:t>
            </w:r>
            <w:r>
              <w:rPr>
                <w:rFonts w:ascii="仿宋_GB2312" w:hAnsi="仿宋_GB2312" w:cs="仿宋_GB2312" w:eastAsia="仿宋_GB2312"/>
                <w:sz w:val="20"/>
              </w:rPr>
              <w:t>相关问题数小于等</w:t>
            </w:r>
            <w:r>
              <w:rPr>
                <w:rFonts w:ascii="仿宋_GB2312" w:hAnsi="仿宋_GB2312" w:cs="仿宋_GB2312" w:eastAsia="仿宋_GB2312"/>
                <w:sz w:val="20"/>
              </w:rPr>
              <w:t>于</w:t>
            </w:r>
            <w:r>
              <w:rPr>
                <w:rFonts w:ascii="仿宋_GB2312" w:hAnsi="仿宋_GB2312" w:cs="仿宋_GB2312" w:eastAsia="仿宋_GB2312"/>
                <w:sz w:val="20"/>
              </w:rPr>
              <w:t>5个，系统视为运行稳定；大于5个视为不稳定，扣5分。</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2）安全事件发生数为0，否则扣10分。</w:t>
            </w:r>
          </w:p>
          <w:p>
            <w:pPr>
              <w:pStyle w:val="null3"/>
              <w:ind w:firstLine="645"/>
              <w:jc w:val="left"/>
            </w:pPr>
            <w:r>
              <w:rPr>
                <w:rFonts w:ascii="仿宋_GB2312" w:hAnsi="仿宋_GB2312" w:cs="仿宋_GB2312" w:eastAsia="仿宋_GB2312"/>
                <w:sz w:val="20"/>
              </w:rPr>
              <w:t>2、运维资料（</w:t>
            </w:r>
            <w:r>
              <w:rPr>
                <w:rFonts w:ascii="仿宋_GB2312" w:hAnsi="仿宋_GB2312" w:cs="仿宋_GB2312" w:eastAsia="仿宋_GB2312"/>
                <w:sz w:val="20"/>
              </w:rPr>
              <w:t>15分</w:t>
            </w:r>
            <w:r>
              <w:rPr>
                <w:rFonts w:ascii="仿宋_GB2312" w:hAnsi="仿宋_GB2312" w:cs="仿宋_GB2312" w:eastAsia="仿宋_GB2312"/>
                <w:sz w:val="20"/>
              </w:rPr>
              <w:t>）</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1）核查发现服务供应商项目维护资料与实际情况不符，或存在遗漏，扣除</w:t>
            </w:r>
            <w:r>
              <w:rPr>
                <w:rFonts w:ascii="仿宋_GB2312" w:hAnsi="仿宋_GB2312" w:cs="仿宋_GB2312" w:eastAsia="仿宋_GB2312"/>
                <w:sz w:val="20"/>
              </w:rPr>
              <w:t>5</w:t>
            </w:r>
            <w:r>
              <w:rPr>
                <w:rFonts w:ascii="仿宋_GB2312" w:hAnsi="仿宋_GB2312" w:cs="仿宋_GB2312" w:eastAsia="仿宋_GB2312"/>
                <w:sz w:val="20"/>
              </w:rPr>
              <w:t>分。</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2）维护信息资料未完成建档的扣5分。</w:t>
            </w:r>
          </w:p>
          <w:p>
            <w:pPr>
              <w:pStyle w:val="null3"/>
              <w:ind w:firstLine="645"/>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缺失的运维资料未按要求补齐的扣</w:t>
            </w:r>
            <w:r>
              <w:rPr>
                <w:rFonts w:ascii="仿宋_GB2312" w:hAnsi="仿宋_GB2312" w:cs="仿宋_GB2312" w:eastAsia="仿宋_GB2312"/>
                <w:sz w:val="20"/>
              </w:rPr>
              <w:t>5分。</w:t>
            </w:r>
          </w:p>
          <w:p>
            <w:pPr>
              <w:pStyle w:val="null3"/>
              <w:ind w:firstLine="645"/>
              <w:jc w:val="left"/>
            </w:pPr>
            <w:r>
              <w:rPr>
                <w:rFonts w:ascii="仿宋_GB2312" w:hAnsi="仿宋_GB2312" w:cs="仿宋_GB2312" w:eastAsia="仿宋_GB2312"/>
                <w:sz w:val="20"/>
                <w:b/>
              </w:rPr>
              <w:t>（二）平台系统故障处理扣分细则（维护责任界面以外的原因引发的故障除外）（</w:t>
            </w:r>
            <w:r>
              <w:rPr>
                <w:rFonts w:ascii="仿宋_GB2312" w:hAnsi="仿宋_GB2312" w:cs="仿宋_GB2312" w:eastAsia="仿宋_GB2312"/>
                <w:sz w:val="20"/>
                <w:b/>
              </w:rPr>
              <w:t>30分</w:t>
            </w:r>
            <w:r>
              <w:rPr>
                <w:rFonts w:ascii="仿宋_GB2312" w:hAnsi="仿宋_GB2312" w:cs="仿宋_GB2312" w:eastAsia="仿宋_GB2312"/>
                <w:sz w:val="20"/>
                <w:b/>
              </w:rPr>
              <w:t>）</w:t>
            </w:r>
          </w:p>
          <w:p>
            <w:pPr>
              <w:pStyle w:val="null3"/>
              <w:ind w:firstLine="645"/>
              <w:jc w:val="left"/>
            </w:pPr>
            <w:r>
              <w:rPr>
                <w:rFonts w:ascii="仿宋_GB2312" w:hAnsi="仿宋_GB2312" w:cs="仿宋_GB2312" w:eastAsia="仿宋_GB2312"/>
                <w:sz w:val="20"/>
              </w:rPr>
              <w:t xml:space="preserve">1、一级故障处理  </w:t>
            </w:r>
          </w:p>
          <w:p>
            <w:pPr>
              <w:pStyle w:val="null3"/>
              <w:ind w:firstLine="645"/>
              <w:jc w:val="left"/>
            </w:pPr>
            <w:r>
              <w:rPr>
                <w:rFonts w:ascii="仿宋_GB2312" w:hAnsi="仿宋_GB2312" w:cs="仿宋_GB2312" w:eastAsia="仿宋_GB2312"/>
                <w:sz w:val="20"/>
              </w:rPr>
              <w:t>发生一级故障</w:t>
            </w:r>
            <w:r>
              <w:rPr>
                <w:rFonts w:ascii="仿宋_GB2312" w:hAnsi="仿宋_GB2312" w:cs="仿宋_GB2312" w:eastAsia="仿宋_GB2312"/>
                <w:sz w:val="20"/>
              </w:rPr>
              <w:t>,超过处理时限1小时的每次扣5分；超过处理时限4小时或者造成数据丢失和重大影响的每次扣除10分。</w:t>
            </w:r>
          </w:p>
          <w:p>
            <w:pPr>
              <w:pStyle w:val="null3"/>
              <w:ind w:firstLine="645"/>
              <w:jc w:val="left"/>
            </w:pPr>
            <w:r>
              <w:rPr>
                <w:rFonts w:ascii="仿宋_GB2312" w:hAnsi="仿宋_GB2312" w:cs="仿宋_GB2312" w:eastAsia="仿宋_GB2312"/>
                <w:sz w:val="20"/>
              </w:rPr>
              <w:t>2、二级故障处理</w:t>
            </w:r>
          </w:p>
          <w:p>
            <w:pPr>
              <w:pStyle w:val="null3"/>
              <w:ind w:firstLine="645"/>
              <w:jc w:val="left"/>
            </w:pPr>
            <w:r>
              <w:rPr>
                <w:rFonts w:ascii="仿宋_GB2312" w:hAnsi="仿宋_GB2312" w:cs="仿宋_GB2312" w:eastAsia="仿宋_GB2312"/>
                <w:sz w:val="20"/>
              </w:rPr>
              <w:t>发生二级故障</w:t>
            </w:r>
            <w:r>
              <w:rPr>
                <w:rFonts w:ascii="仿宋_GB2312" w:hAnsi="仿宋_GB2312" w:cs="仿宋_GB2312" w:eastAsia="仿宋_GB2312"/>
                <w:sz w:val="20"/>
              </w:rPr>
              <w:t>,未能及时组织维护人员按照故障处理时限处理，导致系统业务未能及时恢复，每超过处理时限4小时扣除5分。</w:t>
            </w:r>
          </w:p>
          <w:p>
            <w:pPr>
              <w:pStyle w:val="null3"/>
              <w:ind w:firstLine="645"/>
              <w:jc w:val="left"/>
            </w:pPr>
            <w:r>
              <w:rPr>
                <w:rFonts w:ascii="仿宋_GB2312" w:hAnsi="仿宋_GB2312" w:cs="仿宋_GB2312" w:eastAsia="仿宋_GB2312"/>
                <w:sz w:val="20"/>
                <w:b/>
              </w:rPr>
              <w:t>（三）使用单位满意度考核（</w:t>
            </w:r>
            <w:r>
              <w:rPr>
                <w:rFonts w:ascii="仿宋_GB2312" w:hAnsi="仿宋_GB2312" w:cs="仿宋_GB2312" w:eastAsia="仿宋_GB2312"/>
                <w:sz w:val="20"/>
                <w:b/>
              </w:rPr>
              <w:t>40分</w:t>
            </w:r>
            <w:r>
              <w:rPr>
                <w:rFonts w:ascii="仿宋_GB2312" w:hAnsi="仿宋_GB2312" w:cs="仿宋_GB2312" w:eastAsia="仿宋_GB2312"/>
                <w:sz w:val="20"/>
                <w:b/>
              </w:rPr>
              <w:t>）</w:t>
            </w:r>
          </w:p>
          <w:p>
            <w:pPr>
              <w:pStyle w:val="null3"/>
              <w:ind w:firstLine="645"/>
              <w:jc w:val="left"/>
            </w:pPr>
            <w:r>
              <w:rPr>
                <w:rFonts w:ascii="仿宋_GB2312" w:hAnsi="仿宋_GB2312" w:cs="仿宋_GB2312" w:eastAsia="仿宋_GB2312"/>
                <w:sz w:val="20"/>
              </w:rPr>
              <w:t>每季度根据使用单位满意程度进行评价，评价档次分为满意、不满意两档，满意不扣分，不满意扣当月</w:t>
            </w:r>
            <w:r>
              <w:rPr>
                <w:rFonts w:ascii="仿宋_GB2312" w:hAnsi="仿宋_GB2312" w:cs="仿宋_GB2312" w:eastAsia="仿宋_GB2312"/>
                <w:sz w:val="20"/>
              </w:rPr>
              <w:t>4</w:t>
            </w:r>
            <w:r>
              <w:rPr>
                <w:rFonts w:ascii="仿宋_GB2312" w:hAnsi="仿宋_GB2312" w:cs="仿宋_GB2312" w:eastAsia="仿宋_GB2312"/>
                <w:sz w:val="20"/>
              </w:rPr>
              <w:t>0分。</w:t>
            </w:r>
          </w:p>
          <w:p>
            <w:pPr>
              <w:pStyle w:val="null3"/>
              <w:ind w:firstLine="645"/>
              <w:jc w:val="left"/>
            </w:pPr>
            <w:r>
              <w:rPr>
                <w:rFonts w:ascii="仿宋_GB2312" w:hAnsi="仿宋_GB2312" w:cs="仿宋_GB2312" w:eastAsia="仿宋_GB2312"/>
                <w:sz w:val="20"/>
                <w:b/>
              </w:rPr>
              <w:t>（四）维护考核结果应用</w:t>
            </w:r>
          </w:p>
          <w:p>
            <w:pPr>
              <w:pStyle w:val="null3"/>
              <w:ind w:firstLine="645"/>
              <w:jc w:val="left"/>
            </w:pPr>
            <w:r>
              <w:rPr>
                <w:rFonts w:ascii="仿宋_GB2312" w:hAnsi="仿宋_GB2312" w:cs="仿宋_GB2312" w:eastAsia="仿宋_GB2312"/>
                <w:sz w:val="20"/>
              </w:rPr>
              <w:t>如果服务供应商月度服务考核结果累计三次低于</w:t>
            </w:r>
            <w:r>
              <w:rPr>
                <w:rFonts w:ascii="仿宋_GB2312" w:hAnsi="仿宋_GB2312" w:cs="仿宋_GB2312" w:eastAsia="仿宋_GB2312"/>
                <w:sz w:val="20"/>
              </w:rPr>
              <w:t>60分（不含60分）</w:t>
            </w:r>
            <w:r>
              <w:rPr>
                <w:rFonts w:ascii="仿宋_GB2312" w:hAnsi="仿宋_GB2312" w:cs="仿宋_GB2312" w:eastAsia="仿宋_GB2312"/>
                <w:sz w:val="20"/>
              </w:rPr>
              <w:t>，采购人有权终止合同，并要求服务供应商退回已支付的项目款，以及对采购人造成的损失进行赔偿，服务供应商不得参与之后本项目的政府采购工作。</w:t>
            </w:r>
          </w:p>
          <w:p>
            <w:pPr>
              <w:pStyle w:val="null3"/>
              <w:ind w:firstLine="645"/>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供应商根据磋商文件要求及项目实际情况，自行配置投入完成本项目服务的人员团队。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供应商根据磋商文件要求（如有）及项目实际情况，自行配置投入完成本项目服务的设施设备。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2025年12月16日至2026年12月15日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西安市智慧城管指挥中心指定地点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交付标准：满足项目采购需求； 方法：（1）确认年度项目维护内容，由服务供应商进行自检，合格后，准备验收文件，并书面通知采购人。（2）采购人确认服务供应商的自检内容后，组织验收，并填写政府采购项目验收单（一式伍份）作为对项目服务的最终认可。（3）服务供应商向采购人提交项目实施过程中的所有资料。以便采购人日后管理和维护。（4）验收依据：a、本项目合同文本；b、招标文件、投响应文件、月度运维考核结果和澄清；c、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合同签订之日起一个月内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2025年12月底前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未按合同要求提供服务或服务质量不能满足合同要求，采购人应当将成交服务商违约的情况以及拟采取的措施以书面形式报政府采购监管部门，根据政府采购监管部门的处理意见，采购人有权依据《民法典》有关条款及合同约定终止合同，并要求成交服务商承担违约责任。同时，政府采购监管部门有权依据《政府采购法》及相关法律法规对成交服务商的违法行为进行相应的处罚；3.未经采购人许可，服务供应商不得以任何形式将本项目分包或转包。如服务供应商有此行为，采购人有权立即终止合同，并要求服务供应商退回已支付的项目款，以及对采购人造成的损失进行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1.合同价款：（1）合同总价包括：系统软件维护的费用，软件技术服务的费用，平台软件功能完善服务的费用，以及年度系统维护中发生的其他相关费用。 （2）合同总价一次包死，不受市场价格变化的影响。 2.安全责任：(1)服务供应商在项目建设及运维期间发生的人员安全事故，其全部责任由服务供应商自行承担，与采购人无关。(2)系统源代码(载体为一张光盘)运维前由甲方交付乙方使用，满足乙方运维工作要求；运维期结束后，乙方将源代码交还甲方，不得外传，不得留有副本。 3.质量保证：（1）所提供的项目维护服务符合采购人总体要求，技术服务达标、配置合理，满足招标文件要求，确保信息系统年内稳定运行；（2）项目维护选用软件必须保证技术指标先进、质量可靠，配置合理，满足招标文件要求；（3）维护期内服务供应商必须兑现采购时做出的服务承诺，确保系统达到最佳运行状态；否则，采购人有权终止合同；（4）在项目维护服务期内，供应商实行保修服务，以确保系统正常运行；（5）系统维护符合国家有关规范，确保系统达到最佳运行状态；（6）服务供应商在系统出现严重故障24小时后，仍无法解决问题时，采购人有权联系第三方进行故障处理，并有权终止合同，第三方处理故障费用由服务供应商承担。 4.服务供应商若在项目实施中雇用农民工，应开设农民工工资专用账户，并在“秦云就业”小程序注册，及时将注册“秦云就业”小程序农民工名单提供采购人。采购人将合同款中涉及农民工工资部分转入农民工工资专用账户。 5.服务供应商须注明是否为民营企业中小企业。 6.不论在服务期内，还是终止后，服务供应商未经采购人许可，不得向第三方透露采购人的信息、资料和工作秘密等。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法定代表人直接参与磋商的，须出具法定代表人身份证明（附法定代表人身份证复印件）；法定代表人授权代表参与磋商的，须出具法定代表人授权委托书（附法定代表人及授权代表身份证复印件)；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供应商提供磋商截止时间前六个月内已缴纳的至少一个月的纳税证明或完税证明（增值税，印花税，企业所得税等一种或多种税种），依法免税的单位应提供相关证明材料；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磋商截止时间前六个月内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磋商响应文件盖章</w:t>
            </w:r>
          </w:p>
        </w:tc>
        <w:tc>
          <w:tcPr>
            <w:tcW w:type="dxa" w:w="3322"/>
          </w:tcPr>
          <w:p>
            <w:pPr>
              <w:pStyle w:val="null3"/>
            </w:pPr>
            <w:r>
              <w:rPr>
                <w:rFonts w:ascii="仿宋_GB2312" w:hAnsi="仿宋_GB2312" w:cs="仿宋_GB2312" w:eastAsia="仿宋_GB2312"/>
              </w:rPr>
              <w:t>按照磋商文件格式要求盖章</w:t>
            </w:r>
          </w:p>
        </w:tc>
        <w:tc>
          <w:tcPr>
            <w:tcW w:type="dxa" w:w="1661"/>
          </w:tcPr>
          <w:p>
            <w:pPr>
              <w:pStyle w:val="null3"/>
            </w:pPr>
            <w:r>
              <w:rPr>
                <w:rFonts w:ascii="仿宋_GB2312" w:hAnsi="仿宋_GB2312" w:cs="仿宋_GB2312" w:eastAsia="仿宋_GB2312"/>
              </w:rPr>
              <w:t>响应文件封面 供应商应提交的相关资格证明材料.docx 商务应答表 标的清单 服务内容及服务要求应答表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商务应答表 服务内容及服务要求应答表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符合磋商文件中的服务内容及服务要求和商务要求</w:t>
            </w:r>
          </w:p>
        </w:tc>
        <w:tc>
          <w:tcPr>
            <w:tcW w:type="dxa" w:w="1661"/>
          </w:tcPr>
          <w:p>
            <w:pPr>
              <w:pStyle w:val="null3"/>
            </w:pPr>
            <w:r>
              <w:rPr>
                <w:rFonts w:ascii="仿宋_GB2312" w:hAnsi="仿宋_GB2312" w:cs="仿宋_GB2312" w:eastAsia="仿宋_GB2312"/>
              </w:rPr>
              <w:t>商务应答表 服务内容及服务要求应答表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服务方案完整性</w:t>
            </w:r>
          </w:p>
        </w:tc>
        <w:tc>
          <w:tcPr>
            <w:tcW w:type="dxa" w:w="2492"/>
          </w:tcPr>
          <w:p>
            <w:pPr>
              <w:pStyle w:val="null3"/>
            </w:pPr>
            <w:r>
              <w:rPr>
                <w:rFonts w:ascii="仿宋_GB2312" w:hAnsi="仿宋_GB2312" w:cs="仿宋_GB2312" w:eastAsia="仿宋_GB2312"/>
              </w:rPr>
              <w:t>服务方案准确理解采购人需求，内容科学全面，涵盖所有运维服务的全部具体内容，根据方案的响应情况赋分，完全满足项目需求并包含全部采购内容，得10.1-15.0 分；方案一般，基本满足项目需求，得 5.1-10.0 分；方案较差，未完全涵盖所有采购内容，得 1.0-5.0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服务方案可行性</w:t>
            </w:r>
          </w:p>
        </w:tc>
        <w:tc>
          <w:tcPr>
            <w:tcW w:type="dxa" w:w="2492"/>
          </w:tcPr>
          <w:p>
            <w:pPr>
              <w:pStyle w:val="null3"/>
            </w:pPr>
            <w:r>
              <w:rPr>
                <w:rFonts w:ascii="仿宋_GB2312" w:hAnsi="仿宋_GB2312" w:cs="仿宋_GB2312" w:eastAsia="仿宋_GB2312"/>
              </w:rPr>
              <w:t>服务方案可行性强，具有详细的维护作业计划、故障处理流程和培训计划。根据响应情况赋分。方案可行性强，完全满足项目需求，得 10.1-15.0 分；方案一般，基本满足项目需求，得 5.1-10.0 分；方案较差，部分满足项目需求，得 1.0-5.0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维护团队应具备信息系统软件及网络的运维服务能力和一定的软件开发能力，能提供7*24小时故障处理服务，配备现场维护人员，每配备1人得5分，满分10分，不配备不得分。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服务应急保证措施</w:t>
            </w:r>
          </w:p>
        </w:tc>
        <w:tc>
          <w:tcPr>
            <w:tcW w:type="dxa" w:w="2492"/>
          </w:tcPr>
          <w:p>
            <w:pPr>
              <w:pStyle w:val="null3"/>
            </w:pPr>
            <w:r>
              <w:rPr>
                <w:rFonts w:ascii="仿宋_GB2312" w:hAnsi="仿宋_GB2312" w:cs="仿宋_GB2312" w:eastAsia="仿宋_GB2312"/>
              </w:rPr>
              <w:t>供应商针对本项目提供的应急方案，包括在采购人所在城市（系统平台部署城市）有分支机构或办事处，确保故障或紧急事件发生后，运维人员能够2小时内赶到现场进行处理，提供相关证明材料。以磋商文件中复印件（加盖服务商公章）为依据，根据响应程度赋分。方案内容科学合理、可操作性强、方案内容齐全、完全满足项目需求得3.1-5.0分；方案内容可行性一般，方案内容基本合理得1.0-3.0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服务进度保证措施</w:t>
            </w:r>
          </w:p>
        </w:tc>
        <w:tc>
          <w:tcPr>
            <w:tcW w:type="dxa" w:w="2492"/>
          </w:tcPr>
          <w:p>
            <w:pPr>
              <w:pStyle w:val="null3"/>
            </w:pPr>
            <w:r>
              <w:rPr>
                <w:rFonts w:ascii="仿宋_GB2312" w:hAnsi="仿宋_GB2312" w:cs="仿宋_GB2312" w:eastAsia="仿宋_GB2312"/>
              </w:rPr>
              <w:t>服务供应商针对本项目制定进度保证措施：根据保证磋商的完整性、全面性、可操作性等程度赋分。进度保证措施内容完整、全面、可操作性强，可以使项目进度得到最大的保障得5.1-8.0分；进度保证措施内容较完整、可操作性较强，得3.1-5.0分；进度保证措施内容较差、缺乏可操作性，得1.0-3.0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供应商签订合同后，承诺在15个日历日内，能够熟练掌握系统平台的维护方法，及时有效的处理各种故障，确保业务系统功能完整，运行稳定。根据响应程度赋分，服务承诺内容具体、完整、详细、全面，得10.1-15.0分；服务承诺内容较具体、较完整得5.1-10.0分；服务承诺内容简单、不够全面1.0-5.0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2020年1月1日至今（以合同签订日期为准）同类项目的业绩证明材料（以磋商响应文件中提供的合同复印件为准，合同关键页内容须包含合同名称、签订双方名称、签订时间、主要服务内容、双方盖章页等）；每个得4分，最高12.0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 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2.满足磋商文件实质性要求且最终报价最低的供应商的价格为磋商基准价，其价格分为满分20分。 3.磋商报价得分=（磋商基准价/最终磋商报价）×20%*100。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